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nts/font1.odttf" ContentType="application/vnd.openxmlformats-officedocument.obfuscatedFont"/>
  <Override PartName="/word/fonts/font10.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nts/font9.odttf" ContentType="application/vnd.openxmlformats-officedocument.obfuscatedFont"/>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B100042">
      <w:pPr>
        <w:ind w:firstLine="1044"/>
        <w:jc w:val="center"/>
        <w:rPr>
          <w:rFonts w:eastAsia="黑体" w:cs="宋体"/>
          <w:b/>
          <w:sz w:val="52"/>
          <w:szCs w:val="52"/>
        </w:rPr>
      </w:pPr>
    </w:p>
    <w:p w14:paraId="718C18F8">
      <w:pPr>
        <w:ind w:firstLine="1044"/>
        <w:jc w:val="center"/>
        <w:rPr>
          <w:rFonts w:eastAsia="黑体" w:cs="宋体"/>
          <w:b/>
          <w:sz w:val="52"/>
          <w:szCs w:val="52"/>
        </w:rPr>
      </w:pPr>
    </w:p>
    <w:p w14:paraId="0AE16679">
      <w:pPr>
        <w:ind w:firstLine="643"/>
        <w:jc w:val="left"/>
        <w:rPr>
          <w:rFonts w:ascii="黑体" w:hAnsi="黑体" w:eastAsia="黑体" w:cs="黑体"/>
          <w:b/>
          <w:bCs/>
          <w:szCs w:val="32"/>
        </w:rPr>
      </w:pPr>
    </w:p>
    <w:p w14:paraId="43B9BC91">
      <w:pPr>
        <w:ind w:firstLine="643"/>
        <w:jc w:val="left"/>
        <w:rPr>
          <w:rFonts w:ascii="Arial" w:hAnsi="Arial" w:eastAsia="Symbol"/>
          <w:b/>
          <w:bCs/>
          <w:szCs w:val="32"/>
        </w:rPr>
      </w:pPr>
    </w:p>
    <w:p w14:paraId="5165266C">
      <w:pPr>
        <w:ind w:firstLine="643"/>
        <w:jc w:val="center"/>
        <w:rPr>
          <w:rFonts w:ascii="Arial" w:hAnsi="Arial" w:eastAsia="宋体"/>
          <w:b/>
          <w:bCs/>
          <w:szCs w:val="32"/>
        </w:rPr>
      </w:pPr>
    </w:p>
    <w:p w14:paraId="5829C08C">
      <w:pPr>
        <w:ind w:firstLine="643"/>
        <w:jc w:val="center"/>
        <w:rPr>
          <w:rFonts w:ascii="Arial" w:hAnsi="Arial" w:eastAsia="宋体"/>
          <w:b/>
          <w:bCs/>
          <w:szCs w:val="32"/>
        </w:rPr>
      </w:pPr>
    </w:p>
    <w:p w14:paraId="13852794">
      <w:pPr>
        <w:ind w:firstLine="643"/>
        <w:jc w:val="center"/>
        <w:rPr>
          <w:rFonts w:ascii="Arial" w:hAnsi="Arial" w:eastAsia="宋体"/>
          <w:b/>
          <w:bCs/>
          <w:szCs w:val="32"/>
        </w:rPr>
      </w:pPr>
    </w:p>
    <w:p w14:paraId="23515ABD">
      <w:pPr>
        <w:ind w:firstLine="880"/>
        <w:jc w:val="center"/>
        <w:rPr>
          <w:rFonts w:hint="eastAsia" w:ascii="方正小标宋简体" w:hAnsi="方正小标宋简体" w:eastAsia="方正小标宋简体" w:cs="方正小标宋简体"/>
          <w:sz w:val="44"/>
          <w:szCs w:val="44"/>
          <w:lang w:eastAsia="zh-CN"/>
        </w:rPr>
      </w:pPr>
      <w:r>
        <w:rPr>
          <w:rFonts w:hint="eastAsia" w:ascii="方正小标宋简体" w:hAnsi="方正小标宋简体" w:eastAsia="方正小标宋简体" w:cs="方正小标宋简体"/>
          <w:sz w:val="44"/>
          <w:szCs w:val="44"/>
        </w:rPr>
        <w:t>2026年度包头市地震台</w:t>
      </w:r>
    </w:p>
    <w:p w14:paraId="2FEFA1D2">
      <w:pPr>
        <w:ind w:firstLine="880"/>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预算公开</w:t>
      </w:r>
    </w:p>
    <w:p w14:paraId="3FCA5869">
      <w:pPr>
        <w:ind w:firstLine="880"/>
        <w:jc w:val="center"/>
        <w:rPr>
          <w:rFonts w:ascii="方正小标宋简体" w:hAnsi="方正小标宋简体" w:eastAsia="方正小标宋简体" w:cs="方正小标宋简体"/>
          <w:sz w:val="44"/>
          <w:szCs w:val="44"/>
        </w:rPr>
      </w:pPr>
    </w:p>
    <w:p w14:paraId="7677C9CD">
      <w:pPr>
        <w:adjustRightInd w:val="0"/>
        <w:snapToGrid w:val="0"/>
        <w:ind w:firstLine="640"/>
        <w:rPr>
          <w:rFonts w:ascii="仿宋" w:hAnsi="仿宋" w:eastAsia="仿宋"/>
          <w:szCs w:val="32"/>
        </w:rPr>
      </w:pPr>
    </w:p>
    <w:p w14:paraId="5C492389">
      <w:pPr>
        <w:adjustRightInd w:val="0"/>
        <w:snapToGrid w:val="0"/>
        <w:ind w:firstLine="640"/>
        <w:rPr>
          <w:rFonts w:ascii="仿宋" w:hAnsi="仿宋" w:eastAsia="仿宋"/>
          <w:szCs w:val="32"/>
        </w:rPr>
      </w:pPr>
    </w:p>
    <w:p w14:paraId="0E2CA958">
      <w:pPr>
        <w:adjustRightInd w:val="0"/>
        <w:snapToGrid w:val="0"/>
        <w:ind w:firstLine="640"/>
        <w:rPr>
          <w:rFonts w:ascii="仿宋" w:hAnsi="仿宋" w:eastAsia="仿宋"/>
          <w:szCs w:val="32"/>
        </w:rPr>
      </w:pPr>
    </w:p>
    <w:p w14:paraId="58E8311F">
      <w:pPr>
        <w:adjustRightInd w:val="0"/>
        <w:snapToGrid w:val="0"/>
        <w:ind w:firstLine="640"/>
        <w:rPr>
          <w:rFonts w:ascii="仿宋" w:hAnsi="仿宋" w:eastAsia="仿宋"/>
          <w:szCs w:val="32"/>
        </w:rPr>
      </w:pPr>
    </w:p>
    <w:p w14:paraId="6360F0EE">
      <w:pPr>
        <w:adjustRightInd w:val="0"/>
        <w:snapToGrid w:val="0"/>
        <w:ind w:firstLine="640"/>
        <w:rPr>
          <w:rFonts w:ascii="仿宋" w:hAnsi="仿宋" w:eastAsia="仿宋"/>
          <w:szCs w:val="32"/>
        </w:rPr>
      </w:pPr>
    </w:p>
    <w:p w14:paraId="549C60DF">
      <w:pPr>
        <w:adjustRightInd w:val="0"/>
        <w:snapToGrid w:val="0"/>
        <w:ind w:firstLine="640"/>
        <w:rPr>
          <w:rFonts w:ascii="仿宋" w:hAnsi="仿宋" w:eastAsia="仿宋"/>
          <w:szCs w:val="32"/>
        </w:rPr>
      </w:pPr>
    </w:p>
    <w:p w14:paraId="17652751">
      <w:pPr>
        <w:adjustRightInd w:val="0"/>
        <w:snapToGrid w:val="0"/>
        <w:ind w:firstLine="640"/>
        <w:rPr>
          <w:rFonts w:ascii="仿宋" w:hAnsi="仿宋" w:eastAsia="仿宋"/>
          <w:szCs w:val="32"/>
        </w:rPr>
      </w:pPr>
    </w:p>
    <w:p w14:paraId="30BDD541">
      <w:pPr>
        <w:adjustRightInd w:val="0"/>
        <w:snapToGrid w:val="0"/>
        <w:ind w:firstLine="640"/>
        <w:rPr>
          <w:rFonts w:ascii="仿宋" w:hAnsi="仿宋" w:eastAsia="仿宋"/>
          <w:szCs w:val="32"/>
        </w:rPr>
      </w:pPr>
    </w:p>
    <w:p w14:paraId="3E916B7F">
      <w:pPr>
        <w:adjustRightInd w:val="0"/>
        <w:snapToGrid w:val="0"/>
        <w:rPr>
          <w:rFonts w:ascii="黑体" w:hAnsi="黑体" w:eastAsia="黑体" w:cs="黑体"/>
          <w:szCs w:val="32"/>
        </w:rPr>
      </w:pPr>
    </w:p>
    <w:p w14:paraId="769E65D5">
      <w:pPr>
        <w:adjustRightInd w:val="0"/>
        <w:snapToGrid w:val="0"/>
        <w:jc w:val="center"/>
        <w:rPr>
          <w:rFonts w:ascii="黑体" w:hAnsi="黑体" w:eastAsia="黑体" w:cs="黑体"/>
          <w:szCs w:val="32"/>
        </w:rPr>
      </w:pPr>
      <w:r>
        <w:rPr>
          <w:rFonts w:hint="eastAsia" w:ascii="黑体" w:hAnsi="黑体" w:eastAsia="黑体" w:cs="黑体"/>
          <w:szCs w:val="32"/>
          <w:lang w:val="en-US" w:eastAsia="zh-CN"/>
        </w:rPr>
        <w:t xml:space="preserve">      </w:t>
      </w:r>
      <w:bookmarkStart w:id="0" w:name="_GoBack"/>
      <w:bookmarkEnd w:id="0"/>
      <w:r>
        <w:rPr>
          <w:rFonts w:hint="eastAsia" w:ascii="黑体" w:hAnsi="黑体" w:eastAsia="黑体" w:cs="黑体"/>
          <w:szCs w:val="32"/>
        </w:rPr>
        <w:t>批复时间：</w:t>
      </w:r>
      <w:r>
        <w:rPr>
          <w:rFonts w:hint="eastAsia" w:ascii="黑体" w:hAnsi="黑体" w:eastAsia="黑体" w:cs="黑体"/>
          <w:szCs w:val="32"/>
          <w:u w:val="none"/>
          <w:lang w:val="en-US" w:eastAsia="zh-CN"/>
        </w:rPr>
        <w:t>2026</w:t>
      </w:r>
      <w:r>
        <w:rPr>
          <w:rFonts w:hint="eastAsia" w:ascii="黑体" w:hAnsi="黑体" w:eastAsia="黑体" w:cs="黑体"/>
          <w:szCs w:val="32"/>
          <w:u w:val="none"/>
        </w:rPr>
        <w:t>年</w:t>
      </w:r>
      <w:r>
        <w:rPr>
          <w:rFonts w:hint="eastAsia" w:ascii="黑体" w:hAnsi="黑体" w:eastAsia="黑体" w:cs="黑体"/>
          <w:szCs w:val="32"/>
          <w:u w:val="none"/>
          <w:lang w:val="en-US" w:eastAsia="zh-CN"/>
        </w:rPr>
        <w:t>1</w:t>
      </w:r>
      <w:r>
        <w:rPr>
          <w:rFonts w:hint="eastAsia" w:ascii="黑体" w:hAnsi="黑体" w:eastAsia="黑体" w:cs="黑体"/>
          <w:szCs w:val="32"/>
          <w:u w:val="none"/>
        </w:rPr>
        <w:t>月</w:t>
      </w:r>
      <w:r>
        <w:rPr>
          <w:rFonts w:hint="eastAsia" w:ascii="黑体" w:hAnsi="黑体" w:eastAsia="黑体" w:cs="黑体"/>
          <w:szCs w:val="32"/>
          <w:u w:val="none"/>
          <w:lang w:val="en-US" w:eastAsia="zh-CN"/>
        </w:rPr>
        <w:t>28</w:t>
      </w:r>
      <w:r>
        <w:rPr>
          <w:rFonts w:hint="eastAsia" w:ascii="黑体" w:hAnsi="黑体" w:eastAsia="黑体" w:cs="黑体"/>
          <w:szCs w:val="32"/>
          <w:u w:val="none"/>
        </w:rPr>
        <w:t>日</w:t>
      </w:r>
    </w:p>
    <w:p w14:paraId="62DCD27E">
      <w:pPr>
        <w:pStyle w:val="2"/>
        <w:spacing w:after="0"/>
        <w:jc w:val="center"/>
        <w:rPr>
          <w:rFonts w:hint="default" w:ascii="黑体" w:hAnsi="黑体" w:eastAsia="黑体" w:cs="黑体"/>
        </w:rPr>
      </w:pPr>
      <w:r>
        <w:rPr>
          <w:rFonts w:ascii="黑体" w:hAnsi="黑体" w:eastAsia="黑体" w:cs="黑体"/>
          <w:sz w:val="32"/>
          <w:szCs w:val="32"/>
        </w:rPr>
        <w:t>公开时间</w:t>
      </w:r>
      <w:r>
        <w:rPr>
          <w:rFonts w:hint="eastAsia" w:ascii="黑体" w:hAnsi="黑体" w:eastAsia="黑体" w:cs="黑体"/>
          <w:sz w:val="32"/>
          <w:szCs w:val="32"/>
          <w:lang w:eastAsia="zh-CN"/>
        </w:rPr>
        <w:t>：</w:t>
      </w:r>
      <w:r>
        <w:rPr>
          <w:rFonts w:hint="eastAsia" w:ascii="黑体" w:hAnsi="黑体" w:eastAsia="黑体" w:cs="黑体"/>
          <w:sz w:val="32"/>
          <w:szCs w:val="32"/>
          <w:u w:val="none"/>
          <w:lang w:val="en-US" w:eastAsia="zh-CN"/>
        </w:rPr>
        <w:t>2026</w:t>
      </w:r>
      <w:r>
        <w:rPr>
          <w:rFonts w:ascii="黑体" w:hAnsi="黑体" w:eastAsia="黑体" w:cs="黑体"/>
          <w:sz w:val="32"/>
          <w:szCs w:val="32"/>
          <w:u w:val="none"/>
        </w:rPr>
        <w:t>年</w:t>
      </w:r>
      <w:r>
        <w:rPr>
          <w:rFonts w:hint="eastAsia" w:ascii="黑体" w:hAnsi="黑体" w:eastAsia="黑体" w:cs="黑体"/>
          <w:sz w:val="32"/>
          <w:szCs w:val="32"/>
          <w:u w:val="none"/>
          <w:lang w:val="en-US" w:eastAsia="zh-CN"/>
        </w:rPr>
        <w:t>2</w:t>
      </w:r>
      <w:r>
        <w:rPr>
          <w:rFonts w:ascii="黑体" w:hAnsi="黑体" w:eastAsia="黑体" w:cs="黑体"/>
          <w:sz w:val="32"/>
          <w:szCs w:val="32"/>
          <w:u w:val="none"/>
        </w:rPr>
        <w:t>月</w:t>
      </w:r>
      <w:r>
        <w:rPr>
          <w:rFonts w:hint="eastAsia" w:ascii="黑体" w:hAnsi="黑体" w:eastAsia="黑体" w:cs="黑体"/>
          <w:sz w:val="32"/>
          <w:szCs w:val="32"/>
          <w:u w:val="none"/>
          <w:lang w:val="en-US" w:eastAsia="zh-CN"/>
        </w:rPr>
        <w:t>6</w:t>
      </w:r>
      <w:r>
        <w:rPr>
          <w:rFonts w:ascii="黑体" w:hAnsi="黑体" w:eastAsia="黑体" w:cs="黑体"/>
          <w:sz w:val="32"/>
          <w:szCs w:val="32"/>
          <w:u w:val="none"/>
        </w:rPr>
        <w:t>日</w:t>
      </w:r>
    </w:p>
    <w:p w14:paraId="785B14CF">
      <w:pPr>
        <w:adjustRightInd w:val="0"/>
        <w:snapToGrid w:val="0"/>
        <w:ind w:firstLine="640"/>
        <w:rPr>
          <w:rFonts w:ascii="仿宋" w:hAnsi="仿宋" w:eastAsia="仿宋"/>
          <w:szCs w:val="32"/>
        </w:rPr>
      </w:pPr>
    </w:p>
    <w:p w14:paraId="732B949A">
      <w:pPr>
        <w:adjustRightInd w:val="0"/>
        <w:snapToGrid w:val="0"/>
        <w:ind w:firstLine="640"/>
        <w:rPr>
          <w:rFonts w:ascii="仿宋" w:hAnsi="仿宋" w:eastAsia="仿宋"/>
          <w:szCs w:val="32"/>
        </w:rPr>
      </w:pPr>
    </w:p>
    <w:p w14:paraId="1B2C0505">
      <w:pPr>
        <w:adjustRightInd w:val="0"/>
        <w:snapToGrid w:val="0"/>
        <w:ind w:firstLine="640"/>
        <w:rPr>
          <w:rFonts w:ascii="仿宋" w:hAnsi="仿宋" w:eastAsia="仿宋"/>
          <w:szCs w:val="32"/>
        </w:rPr>
      </w:pPr>
    </w:p>
    <w:p w14:paraId="3C2DB72F">
      <w:pPr>
        <w:pStyle w:val="5"/>
        <w:tabs>
          <w:tab w:val="left" w:pos="4533"/>
        </w:tabs>
        <w:spacing w:before="0" w:after="0" w:line="600" w:lineRule="exact"/>
        <w:ind w:firstLine="0" w:firstLineChars="0"/>
        <w:jc w:val="center"/>
        <w:rPr>
          <w:sz w:val="44"/>
          <w:szCs w:val="44"/>
        </w:rPr>
      </w:pPr>
      <w:r>
        <w:rPr>
          <w:sz w:val="44"/>
          <w:szCs w:val="44"/>
        </w:rPr>
        <w:t>目</w:t>
      </w:r>
      <w:r>
        <w:rPr>
          <w:rFonts w:hint="eastAsia" w:eastAsia="宋体"/>
          <w:sz w:val="44"/>
          <w:szCs w:val="44"/>
        </w:rPr>
        <w:t xml:space="preserve">  </w:t>
      </w:r>
      <w:r>
        <w:rPr>
          <w:rFonts w:hint="eastAsia"/>
          <w:sz w:val="44"/>
          <w:szCs w:val="44"/>
        </w:rPr>
        <w:t xml:space="preserve">  </w:t>
      </w:r>
      <w:r>
        <w:rPr>
          <w:sz w:val="44"/>
          <w:szCs w:val="44"/>
        </w:rPr>
        <w:t>录</w:t>
      </w:r>
    </w:p>
    <w:p w14:paraId="40D359F8"/>
    <w:p w14:paraId="67A95C41">
      <w:pPr>
        <w:pStyle w:val="10"/>
        <w:spacing w:after="0"/>
        <w:rPr>
          <w:rFonts w:ascii="黑体" w:hAnsi="黑体" w:eastAsia="黑体" w:cs="黑体"/>
          <w:szCs w:val="32"/>
        </w:rPr>
      </w:pPr>
      <w:r>
        <w:rPr>
          <w:rFonts w:hint="eastAsia" w:ascii="黑体" w:hAnsi="黑体" w:eastAsia="黑体" w:cs="黑体"/>
          <w:szCs w:val="32"/>
        </w:rPr>
        <w:t>第一部分 单位概况</w:t>
      </w:r>
    </w:p>
    <w:p w14:paraId="427426C2">
      <w:pPr>
        <w:pStyle w:val="10"/>
        <w:spacing w:after="0"/>
        <w:rPr>
          <w:rFonts w:ascii="仿宋" w:hAnsi="仿宋" w:eastAsia="仿宋" w:cs="仿宋"/>
          <w:szCs w:val="32"/>
          <w:highlight w:val="yellow"/>
        </w:rPr>
      </w:pPr>
      <w:r>
        <w:rPr>
          <w:rFonts w:hint="eastAsia" w:ascii="仿宋" w:hAnsi="仿宋" w:eastAsia="仿宋" w:cs="仿宋"/>
          <w:w w:val="95"/>
          <w:szCs w:val="32"/>
        </w:rPr>
        <w:t>一、主要职能、职责</w:t>
      </w:r>
    </w:p>
    <w:p w14:paraId="78CE7274">
      <w:pPr>
        <w:pStyle w:val="10"/>
        <w:spacing w:after="0"/>
        <w:rPr>
          <w:rFonts w:ascii="仿宋" w:hAnsi="仿宋" w:eastAsia="仿宋" w:cs="仿宋"/>
          <w:szCs w:val="32"/>
        </w:rPr>
      </w:pPr>
      <w:r>
        <w:rPr>
          <w:rFonts w:hint="eastAsia" w:ascii="仿宋" w:hAnsi="仿宋" w:eastAsia="仿宋" w:cs="仿宋"/>
          <w:szCs w:val="32"/>
        </w:rPr>
        <w:t>二、单位机构设置及预算单位构成情况</w:t>
      </w:r>
    </w:p>
    <w:p w14:paraId="53BE7B1D">
      <w:pPr>
        <w:pStyle w:val="10"/>
        <w:spacing w:after="0"/>
        <w:rPr>
          <w:rFonts w:ascii="黑体" w:hAnsi="黑体" w:eastAsia="黑体" w:cs="黑体"/>
          <w:szCs w:val="32"/>
        </w:rPr>
      </w:pPr>
      <w:r>
        <w:rPr>
          <w:rFonts w:hint="eastAsia" w:ascii="仿宋" w:hAnsi="仿宋" w:eastAsia="仿宋" w:cs="仿宋"/>
          <w:szCs w:val="32"/>
        </w:rPr>
        <w:t>三、</w:t>
      </w:r>
      <w:r>
        <w:rPr>
          <w:rFonts w:ascii="仿宋" w:hAnsi="仿宋" w:eastAsia="仿宋" w:cs="仿宋"/>
          <w:szCs w:val="32"/>
        </w:rPr>
        <w:t>2026</w:t>
      </w:r>
      <w:r>
        <w:rPr>
          <w:rFonts w:hint="eastAsia" w:ascii="仿宋" w:hAnsi="仿宋" w:eastAsia="仿宋" w:cs="仿宋"/>
          <w:szCs w:val="32"/>
        </w:rPr>
        <w:t>年度单位主要工作任务及目标</w:t>
      </w:r>
    </w:p>
    <w:p w14:paraId="41F11A23">
      <w:pPr>
        <w:pStyle w:val="10"/>
        <w:spacing w:after="0"/>
        <w:rPr>
          <w:rFonts w:hint="eastAsia" w:ascii="黑体" w:hAnsi="黑体" w:eastAsia="黑体" w:cs="黑体"/>
          <w:szCs w:val="32"/>
        </w:rPr>
      </w:pPr>
      <w:r>
        <w:rPr>
          <w:rFonts w:hint="eastAsia" w:ascii="黑体" w:hAnsi="黑体" w:eastAsia="黑体" w:cs="黑体"/>
          <w:szCs w:val="32"/>
        </w:rPr>
        <w:t>第二部分 2026年度单位预算情况说明</w:t>
      </w:r>
    </w:p>
    <w:p w14:paraId="65F9BD63">
      <w:pPr>
        <w:pStyle w:val="10"/>
        <w:spacing w:after="0"/>
        <w:rPr>
          <w:rFonts w:ascii="仿宋" w:hAnsi="仿宋" w:eastAsia="仿宋" w:cs="仿宋"/>
          <w:szCs w:val="32"/>
        </w:rPr>
      </w:pPr>
      <w:r>
        <w:rPr>
          <w:rFonts w:hint="eastAsia" w:ascii="仿宋" w:hAnsi="仿宋" w:eastAsia="仿宋" w:cs="仿宋"/>
          <w:szCs w:val="32"/>
        </w:rPr>
        <w:t>一、收支预算总体情况说明</w:t>
      </w:r>
    </w:p>
    <w:p w14:paraId="35A9BB57">
      <w:pPr>
        <w:pStyle w:val="10"/>
        <w:spacing w:after="0"/>
        <w:rPr>
          <w:rFonts w:ascii="仿宋" w:hAnsi="仿宋" w:eastAsia="仿宋" w:cs="仿宋"/>
          <w:szCs w:val="32"/>
        </w:rPr>
      </w:pPr>
      <w:r>
        <w:rPr>
          <w:rFonts w:hint="eastAsia" w:ascii="仿宋" w:hAnsi="仿宋" w:eastAsia="仿宋" w:cs="仿宋"/>
          <w:szCs w:val="32"/>
        </w:rPr>
        <w:t>二、收入预算情况说明</w:t>
      </w:r>
    </w:p>
    <w:p w14:paraId="77E66CC4">
      <w:pPr>
        <w:pStyle w:val="10"/>
        <w:spacing w:after="0"/>
        <w:rPr>
          <w:rFonts w:ascii="仿宋" w:hAnsi="仿宋" w:eastAsia="仿宋" w:cs="仿宋"/>
          <w:szCs w:val="32"/>
        </w:rPr>
      </w:pPr>
      <w:r>
        <w:rPr>
          <w:rFonts w:hint="eastAsia" w:ascii="仿宋" w:hAnsi="仿宋" w:eastAsia="仿宋" w:cs="仿宋"/>
          <w:szCs w:val="32"/>
        </w:rPr>
        <w:t>三、支出预算情况说明</w:t>
      </w:r>
    </w:p>
    <w:p w14:paraId="1F39DD10">
      <w:pPr>
        <w:pStyle w:val="10"/>
        <w:spacing w:after="0"/>
        <w:rPr>
          <w:rFonts w:ascii="仿宋" w:hAnsi="仿宋" w:eastAsia="仿宋" w:cs="仿宋"/>
          <w:szCs w:val="32"/>
        </w:rPr>
      </w:pPr>
      <w:r>
        <w:rPr>
          <w:rFonts w:hint="eastAsia" w:ascii="仿宋" w:hAnsi="仿宋" w:eastAsia="仿宋" w:cs="仿宋"/>
          <w:szCs w:val="32"/>
        </w:rPr>
        <w:t>四、财政拨款收支预算总体情况说明</w:t>
      </w:r>
    </w:p>
    <w:p w14:paraId="6FE88A25">
      <w:pPr>
        <w:pStyle w:val="10"/>
        <w:spacing w:after="0"/>
        <w:rPr>
          <w:rFonts w:ascii="仿宋" w:hAnsi="仿宋" w:eastAsia="仿宋" w:cs="仿宋"/>
          <w:szCs w:val="32"/>
        </w:rPr>
      </w:pPr>
      <w:r>
        <w:rPr>
          <w:rFonts w:hint="eastAsia" w:ascii="仿宋" w:hAnsi="仿宋" w:eastAsia="仿宋" w:cs="仿宋"/>
          <w:szCs w:val="32"/>
        </w:rPr>
        <w:t>五、一般公共预算支出预算情况说明</w:t>
      </w:r>
    </w:p>
    <w:p w14:paraId="2E4A3D3C">
      <w:pPr>
        <w:pStyle w:val="10"/>
        <w:spacing w:after="0"/>
        <w:rPr>
          <w:rFonts w:ascii="仿宋" w:hAnsi="仿宋" w:eastAsia="仿宋" w:cs="仿宋"/>
          <w:szCs w:val="32"/>
        </w:rPr>
      </w:pPr>
      <w:r>
        <w:rPr>
          <w:rFonts w:hint="eastAsia" w:ascii="仿宋" w:hAnsi="仿宋" w:eastAsia="仿宋" w:cs="仿宋"/>
          <w:szCs w:val="32"/>
        </w:rPr>
        <w:t>六、一般公共预算基本支出预算情况说明</w:t>
      </w:r>
    </w:p>
    <w:p w14:paraId="2120087A">
      <w:pPr>
        <w:pStyle w:val="10"/>
        <w:spacing w:after="0"/>
        <w:rPr>
          <w:rFonts w:ascii="仿宋" w:hAnsi="仿宋" w:eastAsia="仿宋" w:cs="仿宋"/>
          <w:szCs w:val="32"/>
        </w:rPr>
      </w:pPr>
      <w:r>
        <w:rPr>
          <w:rFonts w:hint="eastAsia" w:ascii="仿宋" w:hAnsi="仿宋" w:eastAsia="仿宋" w:cs="仿宋"/>
          <w:szCs w:val="32"/>
        </w:rPr>
        <w:t>七、一般公共预算“三公”经费支出预算情况说明</w:t>
      </w:r>
    </w:p>
    <w:p w14:paraId="04E678E6">
      <w:pPr>
        <w:pStyle w:val="10"/>
        <w:spacing w:after="0"/>
        <w:rPr>
          <w:rFonts w:ascii="仿宋" w:hAnsi="仿宋" w:eastAsia="仿宋" w:cs="仿宋"/>
          <w:szCs w:val="32"/>
        </w:rPr>
      </w:pPr>
      <w:r>
        <w:rPr>
          <w:rFonts w:hint="eastAsia" w:ascii="仿宋" w:hAnsi="仿宋" w:eastAsia="仿宋" w:cs="仿宋"/>
          <w:szCs w:val="32"/>
        </w:rPr>
        <w:t>八、政府性基金预算支出预算情况说明</w:t>
      </w:r>
    </w:p>
    <w:p w14:paraId="698082D6">
      <w:pPr>
        <w:pStyle w:val="10"/>
        <w:spacing w:after="0"/>
        <w:rPr>
          <w:rFonts w:ascii="仿宋" w:hAnsi="仿宋" w:eastAsia="仿宋" w:cs="仿宋"/>
          <w:szCs w:val="32"/>
        </w:rPr>
      </w:pPr>
      <w:r>
        <w:rPr>
          <w:rFonts w:hint="eastAsia" w:ascii="仿宋" w:hAnsi="仿宋" w:eastAsia="仿宋" w:cs="仿宋"/>
          <w:szCs w:val="32"/>
        </w:rPr>
        <w:t>九、国有资本经营预算支出预算情况说明</w:t>
      </w:r>
    </w:p>
    <w:p w14:paraId="3D5ED10D">
      <w:pPr>
        <w:pStyle w:val="10"/>
        <w:spacing w:after="0"/>
        <w:rPr>
          <w:rFonts w:ascii="仿宋" w:hAnsi="仿宋" w:eastAsia="仿宋" w:cs="仿宋"/>
          <w:szCs w:val="32"/>
        </w:rPr>
      </w:pPr>
      <w:r>
        <w:rPr>
          <w:rFonts w:hint="eastAsia" w:ascii="仿宋" w:hAnsi="仿宋" w:eastAsia="仿宋" w:cs="仿宋"/>
          <w:szCs w:val="32"/>
        </w:rPr>
        <w:t>十、项目支出预算情况说明</w:t>
      </w:r>
    </w:p>
    <w:p w14:paraId="4F758DA0">
      <w:pPr>
        <w:pStyle w:val="10"/>
        <w:spacing w:after="0"/>
        <w:rPr>
          <w:rFonts w:ascii="仿宋" w:hAnsi="仿宋" w:eastAsia="仿宋" w:cs="仿宋"/>
          <w:szCs w:val="32"/>
        </w:rPr>
      </w:pPr>
      <w:r>
        <w:rPr>
          <w:rFonts w:hint="eastAsia" w:ascii="仿宋" w:hAnsi="仿宋" w:eastAsia="仿宋" w:cs="仿宋"/>
          <w:szCs w:val="32"/>
        </w:rPr>
        <w:t>十一、一般公共预算机关运行经费支出预算情况说明</w:t>
      </w:r>
    </w:p>
    <w:p w14:paraId="6E289558">
      <w:pPr>
        <w:pStyle w:val="10"/>
        <w:spacing w:after="0"/>
        <w:rPr>
          <w:rFonts w:ascii="仿宋" w:hAnsi="仿宋" w:eastAsia="仿宋" w:cs="仿宋"/>
          <w:szCs w:val="32"/>
        </w:rPr>
      </w:pPr>
      <w:r>
        <w:rPr>
          <w:rFonts w:hint="eastAsia" w:ascii="仿宋" w:hAnsi="仿宋" w:eastAsia="仿宋" w:cs="仿宋"/>
          <w:szCs w:val="32"/>
        </w:rPr>
        <w:t>十二、政府采购支出预算情况说明</w:t>
      </w:r>
    </w:p>
    <w:p w14:paraId="7F6394AA">
      <w:pPr>
        <w:pStyle w:val="10"/>
        <w:spacing w:after="0"/>
        <w:rPr>
          <w:rFonts w:ascii="仿宋" w:hAnsi="仿宋" w:eastAsia="仿宋" w:cs="仿宋"/>
          <w:szCs w:val="32"/>
        </w:rPr>
      </w:pPr>
      <w:r>
        <w:rPr>
          <w:rFonts w:hint="eastAsia" w:ascii="仿宋" w:hAnsi="仿宋" w:eastAsia="仿宋" w:cs="仿宋"/>
          <w:szCs w:val="32"/>
        </w:rPr>
        <w:t>十三、国有资产占用情况说明</w:t>
      </w:r>
    </w:p>
    <w:p w14:paraId="0C313856">
      <w:pPr>
        <w:widowControl/>
        <w:jc w:val="left"/>
        <w:rPr>
          <w:rFonts w:ascii="仿宋" w:hAnsi="仿宋" w:eastAsia="仿宋" w:cs="仿宋"/>
          <w:szCs w:val="32"/>
        </w:rPr>
      </w:pPr>
      <w:r>
        <w:rPr>
          <w:rFonts w:hint="eastAsia" w:ascii="仿宋" w:hAnsi="仿宋" w:eastAsia="仿宋" w:cs="仿宋"/>
          <w:szCs w:val="32"/>
        </w:rPr>
        <w:t xml:space="preserve">十四、项目绩效目标情况说明 </w:t>
      </w:r>
    </w:p>
    <w:p w14:paraId="4584700A">
      <w:pPr>
        <w:pStyle w:val="10"/>
        <w:spacing w:after="0"/>
        <w:rPr>
          <w:rFonts w:ascii="黑体" w:hAnsi="黑体" w:eastAsia="黑体" w:cs="黑体"/>
          <w:szCs w:val="32"/>
        </w:rPr>
      </w:pPr>
      <w:r>
        <w:rPr>
          <w:rFonts w:hint="eastAsia" w:ascii="黑体" w:hAnsi="黑体" w:eastAsia="黑体" w:cs="黑体"/>
          <w:szCs w:val="32"/>
        </w:rPr>
        <w:t>第三部分 名词解释</w:t>
      </w:r>
    </w:p>
    <w:p w14:paraId="4E9A5DCE">
      <w:pPr>
        <w:pStyle w:val="10"/>
        <w:spacing w:after="0"/>
        <w:rPr>
          <w:rFonts w:ascii="黑体" w:hAnsi="黑体" w:eastAsia="黑体" w:cs="黑体"/>
          <w:szCs w:val="32"/>
        </w:rPr>
      </w:pPr>
      <w:r>
        <w:rPr>
          <w:rFonts w:hint="eastAsia" w:ascii="黑体" w:hAnsi="黑体" w:eastAsia="黑体" w:cs="黑体"/>
          <w:szCs w:val="32"/>
        </w:rPr>
        <w:t>第四部分 预算公开联系方式及信息反馈渠道</w:t>
      </w:r>
    </w:p>
    <w:p w14:paraId="3FB478B3">
      <w:pPr>
        <w:pStyle w:val="10"/>
        <w:spacing w:after="0"/>
        <w:rPr>
          <w:rFonts w:ascii="黑体" w:hAnsi="黑体" w:eastAsia="黑体" w:cs="黑体"/>
          <w:szCs w:val="32"/>
        </w:rPr>
      </w:pPr>
      <w:r>
        <w:rPr>
          <w:rFonts w:hint="eastAsia" w:ascii="黑体" w:hAnsi="黑体" w:eastAsia="黑体" w:cs="黑体"/>
          <w:szCs w:val="32"/>
        </w:rPr>
        <w:t xml:space="preserve">第五部分 </w:t>
      </w:r>
      <w:r>
        <w:rPr>
          <w:rFonts w:ascii="黑体" w:hAnsi="黑体" w:eastAsia="黑体" w:cs="黑体"/>
          <w:szCs w:val="32"/>
        </w:rPr>
        <w:t>2026</w:t>
      </w:r>
      <w:r>
        <w:rPr>
          <w:rFonts w:hint="eastAsia" w:ascii="黑体" w:hAnsi="黑体" w:eastAsia="黑体" w:cs="黑体"/>
          <w:szCs w:val="32"/>
        </w:rPr>
        <w:t>年度单位预算表</w:t>
      </w:r>
    </w:p>
    <w:p w14:paraId="08B5F053">
      <w:pPr>
        <w:pStyle w:val="10"/>
        <w:numPr>
          <w:ilvl w:val="0"/>
          <w:numId w:val="1"/>
        </w:numPr>
        <w:spacing w:after="0"/>
        <w:rPr>
          <w:rFonts w:ascii="仿宋" w:hAnsi="仿宋" w:eastAsia="仿宋" w:cs="仿宋"/>
          <w:szCs w:val="32"/>
        </w:rPr>
      </w:pPr>
      <w:r>
        <w:rPr>
          <w:rFonts w:hint="eastAsia" w:ascii="仿宋" w:hAnsi="仿宋" w:eastAsia="仿宋" w:cs="仿宋"/>
          <w:szCs w:val="32"/>
        </w:rPr>
        <w:t>收支总表</w:t>
      </w:r>
    </w:p>
    <w:p w14:paraId="11A9D79B">
      <w:pPr>
        <w:pStyle w:val="10"/>
        <w:spacing w:after="0"/>
        <w:rPr>
          <w:rFonts w:ascii="仿宋" w:hAnsi="仿宋" w:eastAsia="仿宋" w:cs="仿宋"/>
          <w:szCs w:val="32"/>
        </w:rPr>
      </w:pPr>
      <w:r>
        <w:rPr>
          <w:rFonts w:hint="eastAsia" w:ascii="仿宋" w:hAnsi="仿宋" w:eastAsia="仿宋" w:cs="仿宋"/>
          <w:szCs w:val="32"/>
        </w:rPr>
        <w:t>二、收入总表</w:t>
      </w:r>
    </w:p>
    <w:p w14:paraId="51821251">
      <w:pPr>
        <w:pStyle w:val="10"/>
        <w:spacing w:after="0"/>
        <w:rPr>
          <w:rFonts w:ascii="仿宋" w:hAnsi="仿宋" w:eastAsia="仿宋" w:cs="仿宋"/>
          <w:szCs w:val="32"/>
        </w:rPr>
      </w:pPr>
      <w:r>
        <w:rPr>
          <w:rFonts w:hint="eastAsia" w:ascii="仿宋" w:hAnsi="仿宋" w:eastAsia="仿宋" w:cs="仿宋"/>
          <w:w w:val="95"/>
          <w:szCs w:val="32"/>
        </w:rPr>
        <w:t>三、支出总表</w:t>
      </w:r>
    </w:p>
    <w:p w14:paraId="619A13E3">
      <w:pPr>
        <w:pStyle w:val="10"/>
        <w:spacing w:after="0"/>
        <w:rPr>
          <w:rFonts w:ascii="仿宋" w:hAnsi="仿宋" w:eastAsia="仿宋" w:cs="仿宋"/>
          <w:szCs w:val="32"/>
        </w:rPr>
      </w:pPr>
      <w:r>
        <w:rPr>
          <w:rFonts w:hint="eastAsia" w:ascii="仿宋" w:hAnsi="仿宋" w:eastAsia="仿宋" w:cs="仿宋"/>
          <w:w w:val="95"/>
          <w:szCs w:val="32"/>
        </w:rPr>
        <w:t>四、财政拨款收支总表</w:t>
      </w:r>
    </w:p>
    <w:p w14:paraId="0BA3E2A9">
      <w:pPr>
        <w:pStyle w:val="10"/>
        <w:spacing w:after="0"/>
        <w:rPr>
          <w:rFonts w:ascii="仿宋" w:hAnsi="仿宋" w:eastAsia="仿宋" w:cs="仿宋"/>
          <w:szCs w:val="32"/>
        </w:rPr>
      </w:pPr>
      <w:r>
        <w:rPr>
          <w:rFonts w:hint="eastAsia" w:ascii="仿宋" w:hAnsi="仿宋" w:eastAsia="仿宋" w:cs="仿宋"/>
          <w:w w:val="95"/>
          <w:szCs w:val="32"/>
        </w:rPr>
        <w:t>五、一般公共预算支出表</w:t>
      </w:r>
    </w:p>
    <w:p w14:paraId="384D7EBE">
      <w:pPr>
        <w:pStyle w:val="10"/>
        <w:spacing w:after="0"/>
        <w:rPr>
          <w:rFonts w:ascii="仿宋" w:hAnsi="仿宋" w:eastAsia="仿宋" w:cs="仿宋"/>
          <w:szCs w:val="32"/>
        </w:rPr>
      </w:pPr>
      <w:r>
        <w:rPr>
          <w:rFonts w:hint="eastAsia" w:ascii="仿宋" w:hAnsi="仿宋" w:eastAsia="仿宋" w:cs="仿宋"/>
          <w:w w:val="95"/>
          <w:szCs w:val="32"/>
        </w:rPr>
        <w:t>六、一般公共预算基本支出表</w:t>
      </w:r>
    </w:p>
    <w:p w14:paraId="7D09E131">
      <w:pPr>
        <w:pStyle w:val="10"/>
        <w:spacing w:after="0"/>
        <w:rPr>
          <w:rFonts w:ascii="仿宋" w:hAnsi="仿宋" w:eastAsia="仿宋" w:cs="仿宋"/>
          <w:spacing w:val="-16"/>
          <w:w w:val="95"/>
          <w:szCs w:val="32"/>
        </w:rPr>
      </w:pPr>
      <w:r>
        <w:rPr>
          <w:rFonts w:hint="eastAsia" w:ascii="仿宋" w:hAnsi="仿宋" w:eastAsia="仿宋" w:cs="仿宋"/>
          <w:spacing w:val="-17"/>
          <w:w w:val="95"/>
          <w:szCs w:val="32"/>
        </w:rPr>
        <w:t>七、一般公共预算</w:t>
      </w:r>
      <w:r>
        <w:rPr>
          <w:rFonts w:hint="eastAsia" w:ascii="仿宋" w:hAnsi="仿宋" w:eastAsia="仿宋" w:cs="仿宋"/>
          <w:spacing w:val="-8"/>
          <w:w w:val="95"/>
          <w:szCs w:val="32"/>
        </w:rPr>
        <w:t>“</w:t>
      </w:r>
      <w:r>
        <w:rPr>
          <w:rFonts w:hint="eastAsia" w:ascii="仿宋" w:hAnsi="仿宋" w:eastAsia="仿宋" w:cs="仿宋"/>
          <w:spacing w:val="-15"/>
          <w:w w:val="95"/>
          <w:szCs w:val="32"/>
        </w:rPr>
        <w:t>三公</w:t>
      </w:r>
      <w:r>
        <w:rPr>
          <w:rFonts w:hint="eastAsia" w:ascii="仿宋" w:hAnsi="仿宋" w:eastAsia="仿宋" w:cs="仿宋"/>
          <w:spacing w:val="-10"/>
          <w:w w:val="95"/>
          <w:szCs w:val="32"/>
        </w:rPr>
        <w:t>”</w:t>
      </w:r>
      <w:r>
        <w:rPr>
          <w:rFonts w:hint="eastAsia" w:ascii="仿宋" w:hAnsi="仿宋" w:eastAsia="仿宋" w:cs="仿宋"/>
          <w:spacing w:val="-16"/>
          <w:w w:val="95"/>
          <w:szCs w:val="32"/>
        </w:rPr>
        <w:t>经费支出表</w:t>
      </w:r>
    </w:p>
    <w:p w14:paraId="24F97537">
      <w:pPr>
        <w:pStyle w:val="10"/>
        <w:spacing w:after="0"/>
        <w:rPr>
          <w:rFonts w:ascii="仿宋" w:hAnsi="仿宋" w:eastAsia="仿宋" w:cs="仿宋"/>
          <w:szCs w:val="32"/>
        </w:rPr>
      </w:pPr>
      <w:r>
        <w:rPr>
          <w:rFonts w:hint="eastAsia" w:ascii="仿宋" w:hAnsi="仿宋" w:eastAsia="仿宋" w:cs="仿宋"/>
          <w:spacing w:val="-16"/>
          <w:w w:val="95"/>
          <w:szCs w:val="32"/>
        </w:rPr>
        <w:t>八、政府性基金预算支出表</w:t>
      </w:r>
    </w:p>
    <w:p w14:paraId="1BAEF50B">
      <w:pPr>
        <w:pStyle w:val="10"/>
        <w:spacing w:after="0"/>
        <w:rPr>
          <w:rFonts w:ascii="仿宋" w:hAnsi="仿宋" w:eastAsia="仿宋" w:cs="仿宋"/>
          <w:szCs w:val="32"/>
        </w:rPr>
      </w:pPr>
      <w:r>
        <w:rPr>
          <w:rFonts w:hint="eastAsia" w:ascii="仿宋" w:hAnsi="仿宋" w:eastAsia="仿宋" w:cs="仿宋"/>
          <w:szCs w:val="32"/>
        </w:rPr>
        <w:t>九、国有资本经营预算支出表</w:t>
      </w:r>
    </w:p>
    <w:p w14:paraId="32F61E44">
      <w:pPr>
        <w:pStyle w:val="10"/>
        <w:spacing w:after="0"/>
        <w:rPr>
          <w:rFonts w:ascii="仿宋" w:hAnsi="仿宋" w:eastAsia="仿宋" w:cs="仿宋"/>
          <w:szCs w:val="32"/>
        </w:rPr>
      </w:pPr>
      <w:r>
        <w:rPr>
          <w:rFonts w:hint="eastAsia" w:ascii="仿宋" w:hAnsi="仿宋" w:eastAsia="仿宋" w:cs="仿宋"/>
          <w:szCs w:val="32"/>
        </w:rPr>
        <w:t>十、项目支出表</w:t>
      </w:r>
    </w:p>
    <w:p w14:paraId="1A923548">
      <w:pPr>
        <w:pStyle w:val="10"/>
        <w:spacing w:after="0"/>
        <w:rPr>
          <w:rFonts w:ascii="仿宋" w:hAnsi="仿宋" w:eastAsia="仿宋" w:cs="仿宋"/>
          <w:szCs w:val="32"/>
        </w:rPr>
      </w:pPr>
      <w:r>
        <w:rPr>
          <w:rFonts w:hint="eastAsia" w:ascii="仿宋" w:hAnsi="仿宋" w:eastAsia="仿宋" w:cs="仿宋"/>
          <w:szCs w:val="32"/>
        </w:rPr>
        <w:t>十一、项目绩效目标表</w:t>
      </w:r>
    </w:p>
    <w:p w14:paraId="58465AFD">
      <w:pPr>
        <w:pStyle w:val="10"/>
        <w:spacing w:after="0"/>
        <w:rPr>
          <w:rFonts w:ascii="仿宋" w:hAnsi="仿宋" w:eastAsia="仿宋" w:cs="仿宋"/>
          <w:szCs w:val="32"/>
        </w:rPr>
      </w:pPr>
      <w:r>
        <w:rPr>
          <w:rFonts w:hint="eastAsia" w:ascii="仿宋" w:hAnsi="仿宋" w:eastAsia="仿宋" w:cs="仿宋"/>
          <w:w w:val="95"/>
          <w:szCs w:val="32"/>
        </w:rPr>
        <w:t>十二、政府采购预算表</w:t>
      </w:r>
    </w:p>
    <w:p w14:paraId="76D96D49">
      <w:pPr>
        <w:sectPr>
          <w:headerReference r:id="rId5" w:type="default"/>
          <w:footerReference r:id="rId6" w:type="default"/>
          <w:pgSz w:w="11910" w:h="16840"/>
          <w:pgMar w:top="1582" w:right="1680" w:bottom="278" w:left="1640" w:header="720" w:footer="720" w:gutter="0"/>
          <w:pgNumType w:fmt="numberInDash"/>
          <w:cols w:space="0" w:num="1"/>
        </w:sectPr>
      </w:pPr>
    </w:p>
    <w:p w14:paraId="1C40E29A">
      <w:pPr>
        <w:pStyle w:val="7"/>
        <w:tabs>
          <w:tab w:val="left" w:pos="4392"/>
        </w:tabs>
        <w:spacing w:before="0" w:after="0" w:line="600" w:lineRule="exact"/>
        <w:ind w:firstLine="720"/>
        <w:jc w:val="center"/>
        <w:rPr>
          <w:rFonts w:ascii="方正小标宋简体" w:hAnsi="方正小标宋简体" w:eastAsia="方正小标宋简体" w:cs="方正小标宋简体"/>
          <w:b w:val="0"/>
          <w:bCs w:val="0"/>
          <w:sz w:val="36"/>
          <w:szCs w:val="36"/>
        </w:rPr>
      </w:pPr>
      <w:r>
        <w:rPr>
          <w:rFonts w:hint="eastAsia" w:ascii="方正小标宋简体" w:hAnsi="方正小标宋简体" w:eastAsia="方正小标宋简体" w:cs="方正小标宋简体"/>
          <w:b w:val="0"/>
          <w:bCs w:val="0"/>
          <w:sz w:val="36"/>
          <w:szCs w:val="36"/>
        </w:rPr>
        <w:t>第一部分  单位概况</w:t>
      </w:r>
    </w:p>
    <w:p w14:paraId="372D0F87">
      <w:pPr>
        <w:ind w:firstLine="720"/>
        <w:rPr>
          <w:rFonts w:ascii="方正小标宋简体" w:hAnsi="方正小标宋简体" w:eastAsia="方正小标宋简体" w:cs="方正小标宋简体"/>
          <w:sz w:val="36"/>
          <w:szCs w:val="36"/>
        </w:rPr>
      </w:pPr>
    </w:p>
    <w:p w14:paraId="52FF9895">
      <w:pPr>
        <w:numPr>
          <w:ilvl w:val="0"/>
          <w:numId w:val="2"/>
        </w:numPr>
        <w:ind w:left="26" w:leftChars="8" w:firstLine="624" w:firstLineChars="195"/>
        <w:outlineLvl w:val="0"/>
        <w:rPr>
          <w:rFonts w:hint="eastAsia" w:eastAsia="黑体" w:cs="黑体"/>
          <w:szCs w:val="36"/>
          <w:highlight w:val="none"/>
        </w:rPr>
      </w:pPr>
      <w:r>
        <w:rPr>
          <w:rFonts w:hint="eastAsia" w:eastAsia="黑体" w:cs="黑体"/>
          <w:szCs w:val="36"/>
          <w:highlight w:val="none"/>
        </w:rPr>
        <w:t>主要职能职责</w:t>
      </w:r>
    </w:p>
    <w:p w14:paraId="57E7C46C">
      <w:pPr>
        <w:ind w:left="14" w:right="5" w:firstLine="600"/>
        <w:rPr>
          <w:rFonts w:hint="eastAsia" w:ascii="楷体" w:hAnsi="楷体" w:eastAsia="楷体" w:cs="微软雅黑"/>
          <w:b/>
          <w:szCs w:val="32"/>
        </w:rPr>
      </w:pPr>
      <w:r>
        <w:rPr>
          <w:rFonts w:hint="eastAsia" w:ascii="楷体" w:hAnsi="楷体" w:eastAsia="楷体" w:cs="微软雅黑"/>
          <w:b/>
          <w:szCs w:val="32"/>
        </w:rPr>
        <w:t>（一）单位职能</w:t>
      </w:r>
    </w:p>
    <w:p w14:paraId="1E42223A">
      <w:pPr>
        <w:ind w:left="14" w:right="5" w:firstLine="600"/>
        <w:rPr>
          <w:rFonts w:hint="eastAsia" w:ascii="仿宋_GB2312" w:hAnsi="微软雅黑" w:cs="微软雅黑"/>
          <w:szCs w:val="32"/>
        </w:rPr>
      </w:pPr>
      <w:r>
        <w:rPr>
          <w:rFonts w:hint="eastAsia" w:ascii="仿宋_GB2312" w:hAnsi="微软雅黑" w:cs="微软雅黑"/>
          <w:szCs w:val="32"/>
        </w:rPr>
        <w:t>根据包头市编制委员会《关于市地震局所属事业单位机构职能编制的批复》（包机编办发〔2021〕65 号），包头市地震台为包头市地震局所属公益一类事业单位。</w:t>
      </w:r>
    </w:p>
    <w:p w14:paraId="4D4E3B08">
      <w:pPr>
        <w:ind w:left="14" w:right="5" w:firstLine="600"/>
        <w:rPr>
          <w:rFonts w:hint="eastAsia" w:ascii="楷体" w:hAnsi="楷体" w:eastAsia="楷体" w:cs="微软雅黑"/>
          <w:b/>
          <w:szCs w:val="32"/>
        </w:rPr>
      </w:pPr>
      <w:r>
        <w:rPr>
          <w:rFonts w:hint="eastAsia" w:ascii="楷体" w:hAnsi="楷体" w:eastAsia="楷体" w:cs="微软雅黑"/>
          <w:b/>
          <w:szCs w:val="32"/>
        </w:rPr>
        <w:t>（二）主要职责</w:t>
      </w:r>
    </w:p>
    <w:p w14:paraId="5F5DBB1F">
      <w:pPr>
        <w:ind w:left="14" w:right="5" w:firstLine="600"/>
        <w:rPr>
          <w:rFonts w:hint="eastAsia" w:ascii="仿宋_GB2312" w:hAnsi="微软雅黑" w:cs="微软雅黑"/>
          <w:szCs w:val="32"/>
        </w:rPr>
      </w:pPr>
      <w:r>
        <w:rPr>
          <w:rFonts w:hint="eastAsia" w:ascii="仿宋_GB2312" w:hAnsi="微软雅黑" w:cs="微软雅黑"/>
          <w:szCs w:val="32"/>
        </w:rPr>
        <w:t>1.承担市地震局地震应急技术支撑、应急通讯技术保障和应急装备管理工作。</w:t>
      </w:r>
    </w:p>
    <w:p w14:paraId="11ABC8B0">
      <w:pPr>
        <w:ind w:left="14" w:right="5" w:firstLine="600"/>
        <w:rPr>
          <w:rFonts w:hint="eastAsia" w:ascii="仿宋_GB2312" w:hAnsi="微软雅黑" w:cs="微软雅黑"/>
          <w:szCs w:val="32"/>
        </w:rPr>
      </w:pPr>
      <w:r>
        <w:rPr>
          <w:rFonts w:hint="eastAsia" w:ascii="仿宋_GB2312" w:hAnsi="微软雅黑" w:cs="微软雅黑"/>
          <w:szCs w:val="32"/>
        </w:rPr>
        <w:t>2.承担市地震局计算机网络管理与信息安全保障工作。</w:t>
      </w:r>
    </w:p>
    <w:p w14:paraId="412222DF">
      <w:pPr>
        <w:ind w:left="11" w:right="6" w:firstLine="601"/>
        <w:rPr>
          <w:rFonts w:hint="eastAsia" w:ascii="仿宋_GB2312" w:hAnsi="微软雅黑" w:cs="微软雅黑"/>
          <w:szCs w:val="32"/>
        </w:rPr>
      </w:pPr>
      <w:r>
        <w:rPr>
          <w:rFonts w:hint="eastAsia" w:ascii="仿宋_GB2312" w:hAnsi="微软雅黑" w:cs="微软雅黑"/>
          <w:szCs w:val="32"/>
        </w:rPr>
        <w:t>3.承担地震前兆和地震活动监测、地震速报与烈度速报工作。承担震情值班，开展地震异常信息的收集、核实和上报。承担市地震台网的运行、维护。负责全市地震观测资料的收集、汇总及处理归档等工作。</w:t>
      </w:r>
    </w:p>
    <w:p w14:paraId="05964633">
      <w:pPr>
        <w:ind w:left="11" w:right="6" w:firstLine="601"/>
        <w:rPr>
          <w:rFonts w:hint="eastAsia" w:ascii="仿宋_GB2312" w:hAnsi="微软雅黑" w:cs="微软雅黑"/>
          <w:szCs w:val="32"/>
        </w:rPr>
      </w:pPr>
      <w:r>
        <w:rPr>
          <w:rFonts w:hint="eastAsia" w:ascii="仿宋_GB2312" w:hAnsi="微软雅黑" w:cs="微软雅黑"/>
          <w:szCs w:val="32"/>
        </w:rPr>
        <w:t>4.承担全市建设工程抗震设防要求咨询、审核，建设工程选址、地震安全性评价等技术服务工作。承担震害防御数据库的建设和管理工作。承担地震烈度调查和评估工作。</w:t>
      </w:r>
    </w:p>
    <w:p w14:paraId="0A9FB7FF">
      <w:pPr>
        <w:ind w:left="14" w:right="5" w:firstLine="600"/>
        <w:rPr>
          <w:rFonts w:hint="eastAsia" w:ascii="仿宋_GB2312" w:hAnsi="微软雅黑" w:cs="微软雅黑"/>
          <w:szCs w:val="32"/>
        </w:rPr>
      </w:pPr>
      <w:r>
        <w:rPr>
          <w:rFonts w:hint="eastAsia" w:ascii="仿宋_GB2312" w:hAnsi="微软雅黑" w:cs="微软雅黑"/>
          <w:szCs w:val="32"/>
        </w:rPr>
        <w:t>5.承担地震风险的监测、调查、评估工作。</w:t>
      </w:r>
    </w:p>
    <w:p w14:paraId="37028CDA">
      <w:pPr>
        <w:ind w:left="14" w:right="5" w:firstLine="600"/>
        <w:rPr>
          <w:rFonts w:hint="eastAsia" w:ascii="仿宋_GB2312" w:hAnsi="微软雅黑" w:cs="微软雅黑"/>
          <w:szCs w:val="32"/>
        </w:rPr>
      </w:pPr>
      <w:r>
        <w:rPr>
          <w:rFonts w:hint="eastAsia" w:ascii="仿宋_GB2312" w:hAnsi="微软雅黑" w:cs="微软雅黑"/>
          <w:szCs w:val="32"/>
        </w:rPr>
        <w:t>6.承担地震监测预警规划和地震灾害防御规划编制工作。</w:t>
      </w:r>
    </w:p>
    <w:p w14:paraId="75D266EB">
      <w:pPr>
        <w:ind w:left="14" w:right="5" w:firstLine="600"/>
        <w:rPr>
          <w:rFonts w:hint="eastAsia" w:ascii="仿宋_GB2312" w:hAnsi="微软雅黑" w:cs="微软雅黑"/>
          <w:szCs w:val="32"/>
        </w:rPr>
      </w:pPr>
      <w:r>
        <w:rPr>
          <w:rFonts w:hint="eastAsia" w:ascii="仿宋_GB2312" w:hAnsi="微软雅黑" w:cs="微软雅黑"/>
          <w:szCs w:val="32"/>
        </w:rPr>
        <w:t>7.承担防震减灾宣传教育和防震减灾公共服务工作。</w:t>
      </w:r>
    </w:p>
    <w:p w14:paraId="4DA99647">
      <w:pPr>
        <w:ind w:left="14" w:right="5" w:firstLine="600"/>
        <w:rPr>
          <w:rFonts w:hint="eastAsia" w:ascii="仿宋_GB2312" w:hAnsi="微软雅黑" w:cs="微软雅黑"/>
          <w:szCs w:val="32"/>
        </w:rPr>
      </w:pPr>
      <w:r>
        <w:rPr>
          <w:rFonts w:hint="eastAsia" w:ascii="仿宋_GB2312" w:hAnsi="微软雅黑" w:cs="微软雅黑"/>
          <w:szCs w:val="32"/>
        </w:rPr>
        <w:t>8.承担防震减灾技术的推广、应用。</w:t>
      </w:r>
    </w:p>
    <w:p w14:paraId="72DC945F">
      <w:pPr>
        <w:ind w:right="5" w:firstLine="640" w:firstLineChars="200"/>
        <w:rPr>
          <w:rFonts w:hint="eastAsia" w:ascii="仿宋_GB2312" w:hAnsi="微软雅黑" w:cs="微软雅黑"/>
          <w:szCs w:val="32"/>
        </w:rPr>
      </w:pPr>
      <w:r>
        <w:rPr>
          <w:rFonts w:hint="eastAsia" w:ascii="仿宋_GB2312" w:hAnsi="微软雅黑" w:cs="微软雅黑"/>
          <w:szCs w:val="32"/>
        </w:rPr>
        <w:t>9.承担市地震局交办的其他相关工作。</w:t>
      </w:r>
    </w:p>
    <w:p w14:paraId="339F40B0">
      <w:pPr>
        <w:ind w:left="14" w:right="5" w:firstLine="600"/>
        <w:rPr>
          <w:rFonts w:hint="eastAsia" w:ascii="仿宋_GB2312" w:hAnsi="微软雅黑" w:cs="微软雅黑"/>
          <w:szCs w:val="32"/>
        </w:rPr>
      </w:pPr>
      <w:r>
        <w:rPr>
          <w:rFonts w:hint="eastAsia" w:ascii="仿宋_GB2312" w:hAnsi="微软雅黑" w:cs="微软雅黑"/>
          <w:szCs w:val="32"/>
        </w:rPr>
        <w:t>10.牢牢把握铸牢中华民族共同体意识工作主线，将之贯穿于地震监测预警、地震灾害防御、地震速报、地震烈度调查与评估、计算机</w:t>
      </w:r>
    </w:p>
    <w:p w14:paraId="73EE267F">
      <w:pPr>
        <w:ind w:right="5"/>
        <w:jc w:val="left"/>
        <w:rPr>
          <w:rFonts w:hint="eastAsia" w:ascii="仿宋_GB2312"/>
          <w:szCs w:val="32"/>
        </w:rPr>
      </w:pPr>
      <w:r>
        <w:rPr>
          <w:rFonts w:hint="eastAsia" w:ascii="仿宋_GB2312" w:hAnsi="微软雅黑" w:cs="微软雅黑"/>
          <w:szCs w:val="32"/>
        </w:rPr>
        <w:t>网络管理与信息安全保障、防震减灾宣传教育和防震减灾公共服务等。</w:t>
      </w:r>
    </w:p>
    <w:p w14:paraId="7E3BE45F">
      <w:pPr>
        <w:ind w:firstLine="640" w:firstLineChars="200"/>
        <w:outlineLvl w:val="0"/>
        <w:rPr>
          <w:rFonts w:eastAsia="黑体" w:cs="黑体"/>
          <w:szCs w:val="36"/>
        </w:rPr>
      </w:pPr>
      <w:r>
        <w:rPr>
          <w:rFonts w:hint="eastAsia" w:eastAsia="黑体" w:cs="黑体"/>
          <w:szCs w:val="36"/>
        </w:rPr>
        <w:t>二、单位机构设置及预算单位构成情况</w:t>
      </w:r>
    </w:p>
    <w:p w14:paraId="32C2D21B">
      <w:pPr>
        <w:keepNext w:val="0"/>
        <w:keepLines w:val="0"/>
        <w:widowControl/>
        <w:suppressLineNumbers w:val="0"/>
        <w:ind w:firstLine="620" w:firstLineChars="200"/>
        <w:jc w:val="left"/>
        <w:rPr>
          <w:highlight w:val="none"/>
        </w:rPr>
      </w:pPr>
      <w:r>
        <w:rPr>
          <w:rFonts w:ascii="TimesNewRomanPSMT" w:hAnsi="TimesNewRomanPSMT" w:eastAsia="TimesNewRomanPSMT" w:cs="TimesNewRomanPSMT"/>
          <w:color w:val="000000"/>
          <w:kern w:val="0"/>
          <w:sz w:val="31"/>
          <w:szCs w:val="31"/>
          <w:highlight w:val="none"/>
          <w:lang w:val="en-US" w:eastAsia="zh-CN" w:bidi="ar"/>
        </w:rPr>
        <w:t>1</w:t>
      </w:r>
      <w:r>
        <w:rPr>
          <w:rFonts w:ascii="仿宋_GB2312" w:hAnsi="宋体" w:eastAsia="仿宋_GB2312" w:cs="仿宋_GB2312"/>
          <w:color w:val="000000"/>
          <w:kern w:val="0"/>
          <w:sz w:val="31"/>
          <w:szCs w:val="31"/>
          <w:highlight w:val="none"/>
          <w:lang w:val="en-US" w:eastAsia="zh-CN" w:bidi="ar"/>
        </w:rPr>
        <w:t>．根据单位职责分工，本单位无内设机构。本单位无下属单位。</w:t>
      </w:r>
    </w:p>
    <w:p w14:paraId="5E1E1D48">
      <w:pPr>
        <w:ind w:firstLine="640" w:firstLineChars="200"/>
        <w:rPr>
          <w:rFonts w:cstheme="minorBidi"/>
          <w:szCs w:val="32"/>
          <w:highlight w:val="none"/>
        </w:rPr>
      </w:pPr>
      <w:r>
        <w:rPr>
          <w:rFonts w:hint="eastAsia" w:cstheme="minorBidi"/>
          <w:szCs w:val="32"/>
          <w:highlight w:val="none"/>
        </w:rPr>
        <w:t>2．</w:t>
      </w:r>
      <w:r>
        <w:rPr>
          <w:rFonts w:hint="eastAsia"/>
          <w:highlight w:val="none"/>
        </w:rPr>
        <w:t>从预算单位构成看，纳入本单位</w:t>
      </w:r>
      <w:r>
        <w:rPr>
          <w:highlight w:val="none"/>
        </w:rPr>
        <w:t>2026</w:t>
      </w:r>
      <w:r>
        <w:rPr>
          <w:rFonts w:hint="eastAsia"/>
          <w:highlight w:val="none"/>
        </w:rPr>
        <w:t>年部门汇总预算编制范围的预算单位共计1家，具体包括</w:t>
      </w:r>
      <w:r>
        <w:rPr>
          <w:rFonts w:hint="eastAsia" w:cstheme="minorBidi"/>
          <w:szCs w:val="32"/>
          <w:highlight w:val="none"/>
        </w:rPr>
        <w:t>：包头市地震台。</w:t>
      </w:r>
    </w:p>
    <w:p w14:paraId="08149738">
      <w:pPr>
        <w:tabs>
          <w:tab w:val="left" w:pos="3532"/>
        </w:tabs>
        <w:autoSpaceDE w:val="0"/>
        <w:autoSpaceDN w:val="0"/>
        <w:adjustRightInd w:val="0"/>
        <w:ind w:firstLine="641"/>
        <w:jc w:val="center"/>
        <w:rPr>
          <w:rFonts w:ascii="仿宋_GB2312" w:hAnsi="仿宋_GB2312" w:cs="仿宋_GB2312"/>
          <w:b/>
          <w:bCs/>
          <w:szCs w:val="32"/>
        </w:rPr>
      </w:pPr>
      <w:r>
        <w:rPr>
          <w:rFonts w:hint="eastAsia" w:ascii="仿宋_GB2312" w:hAnsi="仿宋_GB2312" w:cs="仿宋_GB2312"/>
          <w:b/>
          <w:bCs/>
          <w:szCs w:val="32"/>
        </w:rPr>
        <w:t>单位情况表</w:t>
      </w:r>
    </w:p>
    <w:tbl>
      <w:tblPr>
        <w:tblStyle w:val="20"/>
        <w:tblpPr w:leftFromText="180" w:rightFromText="180" w:vertAnchor="text" w:horzAnchor="page" w:tblpX="1745" w:tblpY="190"/>
        <w:tblOverlap w:val="never"/>
        <w:tblW w:w="9347" w:type="dxa"/>
        <w:tblInd w:w="0" w:type="dxa"/>
        <w:tblLayout w:type="fixed"/>
        <w:tblCellMar>
          <w:top w:w="0" w:type="dxa"/>
          <w:left w:w="108" w:type="dxa"/>
          <w:bottom w:w="0" w:type="dxa"/>
          <w:right w:w="108" w:type="dxa"/>
        </w:tblCellMar>
      </w:tblPr>
      <w:tblGrid>
        <w:gridCol w:w="876"/>
        <w:gridCol w:w="4043"/>
        <w:gridCol w:w="4428"/>
      </w:tblGrid>
      <w:tr w14:paraId="421F5906">
        <w:trPr>
          <w:trHeight w:val="595" w:hRule="atLeast"/>
        </w:trPr>
        <w:tc>
          <w:tcPr>
            <w:tcW w:w="876" w:type="dxa"/>
            <w:tcBorders>
              <w:top w:val="single" w:color="auto" w:sz="4" w:space="0"/>
              <w:left w:val="single" w:color="auto" w:sz="4" w:space="0"/>
              <w:bottom w:val="single" w:color="auto" w:sz="4" w:space="0"/>
              <w:right w:val="single" w:color="auto" w:sz="4" w:space="0"/>
            </w:tcBorders>
            <w:vAlign w:val="center"/>
          </w:tcPr>
          <w:p w14:paraId="77D11499">
            <w:pPr>
              <w:widowControl/>
              <w:rPr>
                <w:rFonts w:ascii="仿宋" w:hAnsi="仿宋" w:eastAsia="仿宋" w:cs="仿宋"/>
                <w:kern w:val="0"/>
                <w:sz w:val="30"/>
                <w:szCs w:val="30"/>
              </w:rPr>
            </w:pPr>
            <w:r>
              <w:rPr>
                <w:rFonts w:hint="eastAsia" w:ascii="仿宋" w:hAnsi="仿宋" w:eastAsia="仿宋" w:cs="仿宋"/>
                <w:kern w:val="0"/>
                <w:sz w:val="30"/>
                <w:szCs w:val="30"/>
              </w:rPr>
              <w:t>序号</w:t>
            </w:r>
          </w:p>
        </w:tc>
        <w:tc>
          <w:tcPr>
            <w:tcW w:w="4043" w:type="dxa"/>
            <w:tcBorders>
              <w:top w:val="single" w:color="auto" w:sz="4" w:space="0"/>
              <w:left w:val="nil"/>
              <w:bottom w:val="single" w:color="auto" w:sz="4" w:space="0"/>
              <w:right w:val="single" w:color="auto" w:sz="4" w:space="0"/>
            </w:tcBorders>
            <w:vAlign w:val="center"/>
          </w:tcPr>
          <w:p w14:paraId="00291FBF">
            <w:pPr>
              <w:widowControl/>
              <w:ind w:firstLine="600"/>
              <w:jc w:val="center"/>
              <w:rPr>
                <w:rFonts w:ascii="仿宋" w:hAnsi="仿宋" w:eastAsia="仿宋" w:cs="仿宋"/>
                <w:kern w:val="0"/>
                <w:sz w:val="30"/>
                <w:szCs w:val="30"/>
              </w:rPr>
            </w:pPr>
            <w:r>
              <w:rPr>
                <w:rFonts w:hint="eastAsia" w:ascii="仿宋" w:hAnsi="仿宋" w:eastAsia="仿宋" w:cs="仿宋"/>
                <w:kern w:val="0"/>
                <w:sz w:val="30"/>
                <w:szCs w:val="30"/>
              </w:rPr>
              <w:t>单位名称</w:t>
            </w:r>
          </w:p>
        </w:tc>
        <w:tc>
          <w:tcPr>
            <w:tcW w:w="4428" w:type="dxa"/>
            <w:tcBorders>
              <w:top w:val="single" w:color="auto" w:sz="4" w:space="0"/>
              <w:left w:val="nil"/>
              <w:bottom w:val="single" w:color="auto" w:sz="4" w:space="0"/>
              <w:right w:val="single" w:color="auto" w:sz="4" w:space="0"/>
            </w:tcBorders>
            <w:vAlign w:val="center"/>
          </w:tcPr>
          <w:p w14:paraId="244761FB">
            <w:pPr>
              <w:widowControl/>
              <w:ind w:firstLine="600"/>
              <w:jc w:val="center"/>
              <w:rPr>
                <w:rFonts w:ascii="仿宋" w:hAnsi="仿宋" w:eastAsia="仿宋" w:cs="仿宋"/>
                <w:kern w:val="0"/>
                <w:sz w:val="30"/>
                <w:szCs w:val="30"/>
              </w:rPr>
            </w:pPr>
            <w:r>
              <w:rPr>
                <w:rFonts w:hint="eastAsia" w:ascii="仿宋" w:hAnsi="仿宋" w:eastAsia="仿宋" w:cs="仿宋"/>
                <w:kern w:val="0"/>
                <w:sz w:val="30"/>
                <w:szCs w:val="30"/>
              </w:rPr>
              <w:t>单位性质</w:t>
            </w:r>
          </w:p>
        </w:tc>
      </w:tr>
      <w:tr w14:paraId="5D24BBD4">
        <w:tblPrEx>
          <w:tblCellMar>
            <w:top w:w="0" w:type="dxa"/>
            <w:left w:w="108" w:type="dxa"/>
            <w:bottom w:w="0" w:type="dxa"/>
            <w:right w:w="108" w:type="dxa"/>
          </w:tblCellMar>
        </w:tblPrEx>
        <w:trPr>
          <w:trHeight w:val="364" w:hRule="atLeast"/>
        </w:trPr>
        <w:tc>
          <w:tcPr>
            <w:tcW w:w="876" w:type="dxa"/>
            <w:tcBorders>
              <w:top w:val="nil"/>
              <w:left w:val="single" w:color="auto" w:sz="4" w:space="0"/>
              <w:bottom w:val="single" w:color="auto" w:sz="4" w:space="0"/>
              <w:right w:val="single" w:color="auto" w:sz="4" w:space="0"/>
            </w:tcBorders>
            <w:vAlign w:val="center"/>
          </w:tcPr>
          <w:p w14:paraId="47011909">
            <w:pPr>
              <w:widowControl/>
              <w:ind w:firstLine="300" w:firstLineChars="100"/>
              <w:jc w:val="both"/>
              <w:rPr>
                <w:rFonts w:ascii="仿宋" w:hAnsi="仿宋" w:eastAsia="仿宋" w:cs="仿宋"/>
                <w:kern w:val="0"/>
                <w:sz w:val="30"/>
                <w:szCs w:val="30"/>
              </w:rPr>
            </w:pPr>
            <w:r>
              <w:rPr>
                <w:rFonts w:hint="eastAsia" w:ascii="仿宋" w:hAnsi="仿宋" w:eastAsia="仿宋" w:cs="仿宋"/>
                <w:kern w:val="0"/>
                <w:sz w:val="30"/>
                <w:szCs w:val="30"/>
              </w:rPr>
              <w:t>1</w:t>
            </w:r>
          </w:p>
        </w:tc>
        <w:tc>
          <w:tcPr>
            <w:tcW w:w="4043" w:type="dxa"/>
            <w:tcBorders>
              <w:top w:val="nil"/>
              <w:left w:val="nil"/>
              <w:bottom w:val="single" w:color="auto" w:sz="4" w:space="0"/>
              <w:right w:val="single" w:color="auto" w:sz="4" w:space="0"/>
            </w:tcBorders>
            <w:vAlign w:val="center"/>
          </w:tcPr>
          <w:p w14:paraId="53D9571B">
            <w:pPr>
              <w:widowControl/>
              <w:ind w:firstLine="600"/>
              <w:jc w:val="center"/>
              <w:rPr>
                <w:rFonts w:ascii="仿宋" w:hAnsi="仿宋" w:eastAsia="仿宋" w:cs="仿宋"/>
                <w:kern w:val="0"/>
                <w:sz w:val="30"/>
                <w:szCs w:val="30"/>
              </w:rPr>
            </w:pPr>
            <w:r>
              <w:rPr>
                <w:rFonts w:hint="eastAsia" w:ascii="仿宋" w:hAnsi="仿宋" w:eastAsia="仿宋" w:cs="仿宋"/>
                <w:kern w:val="0"/>
                <w:sz w:val="30"/>
                <w:szCs w:val="30"/>
              </w:rPr>
              <w:t>包头市地震台</w:t>
            </w:r>
          </w:p>
        </w:tc>
        <w:tc>
          <w:tcPr>
            <w:tcW w:w="4428" w:type="dxa"/>
            <w:tcBorders>
              <w:top w:val="nil"/>
              <w:left w:val="nil"/>
              <w:bottom w:val="single" w:color="auto" w:sz="4" w:space="0"/>
              <w:right w:val="single" w:color="auto" w:sz="4" w:space="0"/>
            </w:tcBorders>
            <w:vAlign w:val="center"/>
          </w:tcPr>
          <w:p w14:paraId="2D5B6364">
            <w:pPr>
              <w:widowControl/>
              <w:ind w:firstLine="600"/>
              <w:jc w:val="center"/>
              <w:rPr>
                <w:rFonts w:ascii="仿宋" w:hAnsi="仿宋" w:eastAsia="仿宋" w:cs="仿宋"/>
                <w:kern w:val="0"/>
                <w:sz w:val="30"/>
                <w:szCs w:val="30"/>
              </w:rPr>
            </w:pPr>
            <w:r>
              <w:rPr>
                <w:rFonts w:hint="eastAsia" w:ascii="仿宋" w:hAnsi="仿宋" w:eastAsia="仿宋" w:cs="仿宋"/>
                <w:kern w:val="0"/>
                <w:sz w:val="30"/>
                <w:szCs w:val="30"/>
              </w:rPr>
              <w:t>公益一类单位</w:t>
            </w:r>
          </w:p>
        </w:tc>
      </w:tr>
    </w:tbl>
    <w:p w14:paraId="25178B9D">
      <w:pPr>
        <w:rPr>
          <w:rFonts w:cstheme="minorBidi"/>
          <w:szCs w:val="32"/>
        </w:rPr>
      </w:pPr>
    </w:p>
    <w:p w14:paraId="5C3DDD03">
      <w:pPr>
        <w:ind w:firstLine="640" w:firstLineChars="200"/>
        <w:rPr>
          <w:rFonts w:hint="eastAsia" w:eastAsia="黑体" w:cs="黑体"/>
          <w:szCs w:val="36"/>
        </w:rPr>
      </w:pPr>
      <w:r>
        <w:rPr>
          <w:rFonts w:hint="eastAsia" w:eastAsia="黑体" w:cs="黑体"/>
          <w:szCs w:val="36"/>
        </w:rPr>
        <w:t>三</w:t>
      </w:r>
    </w:p>
    <w:p w14:paraId="5944E8C7">
      <w:pPr>
        <w:ind w:left="640" w:leftChars="200" w:firstLine="0" w:firstLineChars="0"/>
        <w:rPr>
          <w:rFonts w:hint="eastAsia" w:eastAsia="黑体" w:cs="黑体"/>
          <w:szCs w:val="36"/>
        </w:rPr>
      </w:pPr>
      <w:r>
        <w:rPr>
          <w:rFonts w:eastAsia="黑体" w:cs="黑体"/>
          <w:szCs w:val="36"/>
        </w:rPr>
        <w:t>2</w:t>
      </w:r>
      <w:r>
        <w:rPr>
          <w:rFonts w:hint="eastAsia" w:eastAsia="黑体" w:cs="黑体"/>
          <w:szCs w:val="36"/>
          <w:lang w:eastAsia="zh-CN"/>
        </w:rPr>
        <w:t>三、</w:t>
      </w:r>
      <w:r>
        <w:rPr>
          <w:rFonts w:hint="eastAsia" w:eastAsia="黑体" w:cs="黑体"/>
          <w:szCs w:val="36"/>
          <w:lang w:val="en-US" w:eastAsia="zh-CN"/>
        </w:rPr>
        <w:t>2</w:t>
      </w:r>
      <w:r>
        <w:rPr>
          <w:rFonts w:eastAsia="黑体" w:cs="黑体"/>
          <w:szCs w:val="36"/>
        </w:rPr>
        <w:t>026</w:t>
      </w:r>
      <w:r>
        <w:rPr>
          <w:rFonts w:hint="eastAsia" w:eastAsia="黑体" w:cs="黑体"/>
          <w:szCs w:val="36"/>
        </w:rPr>
        <w:t>年单位主要工作任务及目标</w:t>
      </w:r>
    </w:p>
    <w:p w14:paraId="56C897AA">
      <w:pPr>
        <w:ind w:firstLine="640" w:firstLineChars="200"/>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2026年，我台各项工作面临新的机遇和挑战，将以地震监测提质增效为核心，以预警服务全面推开、活断层成果应用深度和广度进一步拓展、地震灾害风险评估针对性开展、地震科技服务能力提升为工作重点，高起点谋划好全年工作，细化落实任务措施，确保地震监测预警预报、防震减灾公共服务、震害防御、地震科技服务取得新成效。</w:t>
      </w:r>
    </w:p>
    <w:p w14:paraId="5DA2D1BF">
      <w:pPr>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监测预警方面：一是积极与内蒙古地震局和学科组沟通，熟悉新系统和新的评分细则，按新要求做好数据的分析上报工作。二是加强地震监测业务管理，进一步规范数据分析处理和上报流程，派专人对检查数据分析处理情况，发现问题及时解决。三是开展大青山山前断裂断层监测基地建设，建设断层气定点监测站，同时共享自治区地震局断层气监测站数据，搭建我市断层气监测网络，综合分析监测数据，及时掌握断层活动情况，为地震趋势会商和震情跟踪提供数据支撑。四是成立流动监测队，加强流动观测业务培训，制定监测方案，开展断层气流动观测。五是推动包头台网与国家台网融合，形成互为支撑、互为补充的地震监测网络，提高地震定位的精准度。震害防御工作：一是依托活动断层避让咨询、抗震设防技术审查、工程建设选址咨询等公共服务，进一步加大活动断层成果服务保障城乡规划和工程建设力度，拓展活动断层成果在国土空间规划、详细规划和项目建设中的应用。二是配合完成老包头街区南侧拟建宣教馆、断层气监测站野外勘察、建设等工作。三是配合开展活动断层精细探测，对断层附近待开发地块的活动断层进行精细探测，实现土地高效集约利用。四是配合开展地震灾害损失预评估工作，完成前期协调、基础资料收集整理、现场调查等工作，为政府抗震救灾提供决策依据。科技服务方面：一是推动地震科技赋能增效，充分发挥专业部门职能作用，实施好市科技局社会公益类项目，为企业提供更加准确的定制化预警服务。二是与市工信局、市应急局形成晶硅企业地震预警信息和降损减灾的信息互通共享机制。三是充分利用专用台站数据，为企业提供场地影响分析报告，助力企业保险理赔。内部管理和人才培养方面：一是加强地震监测业务管理，修订《包头市地震台工作手册》，手册涵盖地震台站基本信息、各项工作的开展流程、各项规章制度等内容，方便查询和使用。二是加强内部管理，按着相关文件要求完善考核、职称晋升和考勤等制度。三是加强人才培养。一是狠抓青年干部队伍建设，根据不同的专业方向、个人特长等，一人一策助力年轻干部成长成才。四是与中国地震局、自治区地震局和科研院所大力合作，按照“走出去”、“请进来”的模式，提升青年技术人才的科技创新力。四是积极鼓励干部申报科研课题，组织好已有课题项目的实施，提高专业技术人员科研水平。</w:t>
      </w:r>
    </w:p>
    <w:p w14:paraId="31D7706B">
      <w:pPr>
        <w:pStyle w:val="7"/>
        <w:tabs>
          <w:tab w:val="left" w:pos="4392"/>
        </w:tabs>
        <w:spacing w:before="0" w:after="0" w:line="600" w:lineRule="exact"/>
        <w:ind w:firstLine="720"/>
        <w:jc w:val="center"/>
        <w:rPr>
          <w:rFonts w:ascii="方正小标宋简体" w:hAnsi="方正小标宋简体" w:eastAsia="方正小标宋简体" w:cs="方正小标宋简体"/>
          <w:b w:val="0"/>
          <w:bCs w:val="0"/>
          <w:sz w:val="36"/>
          <w:szCs w:val="36"/>
        </w:rPr>
      </w:pPr>
      <w:r>
        <w:rPr>
          <w:rFonts w:hint="eastAsia" w:ascii="方正小标宋简体" w:hAnsi="方正小标宋简体" w:eastAsia="方正小标宋简体" w:cs="方正小标宋简体"/>
          <w:b w:val="0"/>
          <w:bCs w:val="0"/>
          <w:sz w:val="36"/>
          <w:szCs w:val="36"/>
        </w:rPr>
        <w:t>第二部分</w:t>
      </w:r>
      <w:r>
        <w:rPr>
          <w:rFonts w:ascii="方正小标宋简体" w:hAnsi="方正小标宋简体" w:eastAsia="方正小标宋简体" w:cs="方正小标宋简体"/>
          <w:b w:val="0"/>
          <w:bCs w:val="0"/>
          <w:sz w:val="36"/>
          <w:szCs w:val="36"/>
        </w:rPr>
        <w:t>2026</w:t>
      </w:r>
      <w:r>
        <w:rPr>
          <w:rFonts w:hint="eastAsia" w:ascii="方正小标宋简体" w:hAnsi="方正小标宋简体" w:eastAsia="方正小标宋简体" w:cs="方正小标宋简体"/>
          <w:b w:val="0"/>
          <w:bCs w:val="0"/>
          <w:sz w:val="36"/>
          <w:szCs w:val="36"/>
        </w:rPr>
        <w:t>年度单位预算情况说明</w:t>
      </w:r>
    </w:p>
    <w:p w14:paraId="2A74E05C">
      <w:pPr>
        <w:ind w:firstLine="720"/>
        <w:rPr>
          <w:rFonts w:ascii="方正小标宋简体" w:hAnsi="方正小标宋简体" w:eastAsia="方正小标宋简体" w:cs="方正小标宋简体"/>
          <w:sz w:val="36"/>
          <w:szCs w:val="36"/>
        </w:rPr>
      </w:pPr>
    </w:p>
    <w:p w14:paraId="033ECAF7">
      <w:pPr>
        <w:ind w:firstLine="640" w:firstLineChars="200"/>
        <w:outlineLvl w:val="0"/>
        <w:rPr>
          <w:rFonts w:eastAsia="黑体" w:cs="黑体"/>
          <w:szCs w:val="36"/>
        </w:rPr>
      </w:pPr>
      <w:r>
        <w:rPr>
          <w:rFonts w:hint="eastAsia" w:eastAsia="黑体" w:cs="黑体"/>
          <w:szCs w:val="36"/>
        </w:rPr>
        <w:t>一、收支预算总体情况说明</w:t>
      </w:r>
    </w:p>
    <w:p w14:paraId="1DFBD921">
      <w:pPr>
        <w:pStyle w:val="10"/>
        <w:tabs>
          <w:tab w:val="left" w:pos="5840"/>
          <w:tab w:val="left" w:pos="7858"/>
          <w:tab w:val="left" w:pos="9328"/>
        </w:tabs>
        <w:spacing w:after="0"/>
        <w:ind w:firstLine="640" w:firstLineChars="200"/>
        <w:rPr>
          <w:rFonts w:ascii="仿宋_GB2312" w:hAnsi="仿宋_GB2312" w:cs="仿宋_GB2312"/>
          <w:szCs w:val="32"/>
        </w:rPr>
      </w:pPr>
      <w:r>
        <w:rPr>
          <w:rFonts w:hint="eastAsia" w:ascii="仿宋_GB2312" w:hAnsi="仿宋_GB2312" w:cs="仿宋_GB2312"/>
          <w:szCs w:val="32"/>
        </w:rPr>
        <w:t>包头市地震台</w:t>
      </w:r>
      <w:r>
        <w:rPr>
          <w:szCs w:val="32"/>
        </w:rPr>
        <w:t>2026</w:t>
      </w:r>
      <w:r>
        <w:rPr>
          <w:rFonts w:hint="eastAsia" w:ascii="仿宋_GB2312" w:hAnsi="仿宋_GB2312" w:cs="仿宋_GB2312"/>
          <w:szCs w:val="32"/>
        </w:rPr>
        <w:t>年度收入、支出预算总计</w:t>
      </w:r>
      <w:r>
        <w:rPr>
          <w:rFonts w:ascii="仿宋_GB2312" w:hAnsi="仿宋_GB2312" w:cs="仿宋_GB2312"/>
          <w:szCs w:val="32"/>
        </w:rPr>
        <w:t>414.58</w:t>
      </w:r>
      <w:r>
        <w:rPr>
          <w:rFonts w:hint="eastAsia" w:ascii="仿宋_GB2312" w:hAnsi="仿宋_GB2312" w:cs="仿宋_GB2312"/>
          <w:szCs w:val="32"/>
        </w:rPr>
        <w:t>万元，与上年相比收、支预算总计各增加</w:t>
      </w:r>
      <w:r>
        <w:rPr>
          <w:rFonts w:ascii="仿宋_GB2312" w:hAnsi="仿宋_GB2312" w:cs="仿宋_GB2312"/>
          <w:szCs w:val="32"/>
        </w:rPr>
        <w:t>56.52</w:t>
      </w:r>
      <w:r>
        <w:rPr>
          <w:rFonts w:hint="eastAsia" w:ascii="仿宋_GB2312" w:hAnsi="仿宋_GB2312" w:cs="仿宋_GB2312"/>
          <w:szCs w:val="32"/>
        </w:rPr>
        <w:t>万元，增长</w:t>
      </w:r>
      <w:r>
        <w:rPr>
          <w:rFonts w:ascii="仿宋_GB2312" w:hAnsi="仿宋_GB2312" w:cs="仿宋_GB2312"/>
          <w:szCs w:val="32"/>
        </w:rPr>
        <w:t>15.79</w:t>
      </w:r>
      <w:r>
        <w:rPr>
          <w:rFonts w:hint="eastAsia" w:ascii="仿宋_GB2312" w:hAnsi="仿宋_GB2312" w:cs="仿宋_GB2312"/>
          <w:szCs w:val="32"/>
        </w:rPr>
        <w:t>%。其中：</w:t>
      </w:r>
    </w:p>
    <w:p w14:paraId="7B2B896D">
      <w:pPr>
        <w:pStyle w:val="10"/>
        <w:tabs>
          <w:tab w:val="left" w:pos="4275"/>
        </w:tabs>
        <w:spacing w:after="0"/>
        <w:ind w:firstLine="643" w:firstLineChars="200"/>
        <w:rPr>
          <w:rFonts w:ascii="楷体" w:hAnsi="楷体" w:eastAsia="楷体" w:cs="楷体"/>
          <w:b/>
          <w:bCs/>
          <w:szCs w:val="32"/>
        </w:rPr>
      </w:pPr>
      <w:r>
        <w:rPr>
          <w:rFonts w:hint="eastAsia" w:ascii="楷体" w:hAnsi="楷体" w:eastAsia="楷体" w:cs="楷体"/>
          <w:b/>
          <w:bCs/>
          <w:szCs w:val="32"/>
        </w:rPr>
        <w:t>（一）收入预算总计414.58万元。包括：</w:t>
      </w:r>
    </w:p>
    <w:p w14:paraId="71BB8AF6">
      <w:pPr>
        <w:pStyle w:val="10"/>
        <w:tabs>
          <w:tab w:val="left" w:pos="3792"/>
        </w:tabs>
        <w:spacing w:after="0"/>
        <w:ind w:firstLine="640" w:firstLineChars="200"/>
        <w:rPr>
          <w:szCs w:val="32"/>
        </w:rPr>
      </w:pPr>
      <w:r>
        <w:rPr>
          <w:szCs w:val="32"/>
        </w:rPr>
        <w:t>1．本年收入合计414.58万元。</w:t>
      </w:r>
    </w:p>
    <w:p w14:paraId="305DB35E">
      <w:pPr>
        <w:pStyle w:val="10"/>
        <w:tabs>
          <w:tab w:val="left" w:pos="1389"/>
          <w:tab w:val="left" w:pos="4911"/>
          <w:tab w:val="left" w:pos="5898"/>
        </w:tabs>
        <w:spacing w:after="0"/>
        <w:ind w:firstLine="640" w:firstLineChars="200"/>
        <w:rPr>
          <w:szCs w:val="32"/>
        </w:rPr>
      </w:pPr>
      <w:r>
        <w:rPr>
          <w:szCs w:val="32"/>
        </w:rPr>
        <w:t>（1）一般公共预算拨款收入414.58万元，与上年相比增加5</w:t>
      </w:r>
      <w:r>
        <w:rPr>
          <w:rFonts w:hint="eastAsia"/>
          <w:szCs w:val="32"/>
          <w:lang w:val="en-US" w:eastAsia="zh-CN"/>
        </w:rPr>
        <w:t>6</w:t>
      </w:r>
      <w:r>
        <w:rPr>
          <w:szCs w:val="32"/>
        </w:rPr>
        <w:t>.52万元，增长15.79%。主要原因是</w:t>
      </w:r>
      <w:r>
        <w:rPr>
          <w:rFonts w:hint="eastAsia"/>
          <w:szCs w:val="32"/>
          <w:lang w:eastAsia="zh-CN"/>
        </w:rPr>
        <w:t>人员工资及社保等增加</w:t>
      </w:r>
      <w:r>
        <w:rPr>
          <w:szCs w:val="32"/>
        </w:rPr>
        <w:t>。</w:t>
      </w:r>
    </w:p>
    <w:p w14:paraId="19DFDB8E">
      <w:pPr>
        <w:pStyle w:val="10"/>
        <w:tabs>
          <w:tab w:val="left" w:pos="1389"/>
          <w:tab w:val="left" w:pos="4911"/>
          <w:tab w:val="left" w:pos="5991"/>
        </w:tabs>
        <w:spacing w:after="0"/>
        <w:ind w:firstLine="640" w:firstLineChars="200"/>
        <w:rPr>
          <w:szCs w:val="32"/>
        </w:rPr>
      </w:pPr>
      <w:r>
        <w:rPr>
          <w:szCs w:val="32"/>
        </w:rPr>
        <w:t>（2）政府性基金预算拨款收入0万元，与上年相比增加0万元，增长0%。主要原因是</w:t>
      </w:r>
      <w:r>
        <w:rPr>
          <w:rFonts w:hint="eastAsia"/>
          <w:kern w:val="0"/>
        </w:rPr>
        <w:t>不存在政府性基金预算拨款收入</w:t>
      </w:r>
      <w:r>
        <w:rPr>
          <w:szCs w:val="32"/>
        </w:rPr>
        <w:t>。</w:t>
      </w:r>
    </w:p>
    <w:p w14:paraId="2D0DA321">
      <w:pPr>
        <w:pStyle w:val="10"/>
        <w:tabs>
          <w:tab w:val="left" w:pos="1389"/>
          <w:tab w:val="left" w:pos="4911"/>
          <w:tab w:val="left" w:pos="6205"/>
        </w:tabs>
        <w:spacing w:after="0"/>
        <w:ind w:firstLine="640" w:firstLineChars="200"/>
        <w:rPr>
          <w:szCs w:val="32"/>
        </w:rPr>
      </w:pPr>
      <w:r>
        <w:rPr>
          <w:szCs w:val="32"/>
        </w:rPr>
        <w:t>（3）国有资本经营预算拨款收入0万元，与上年相比增加0万元，增长0%。主要原因是</w:t>
      </w:r>
      <w:r>
        <w:rPr>
          <w:rFonts w:hint="eastAsia"/>
          <w:kern w:val="0"/>
        </w:rPr>
        <w:t>不存在国有资本经营预算拨款收入</w:t>
      </w:r>
      <w:r>
        <w:rPr>
          <w:szCs w:val="32"/>
        </w:rPr>
        <w:t>。</w:t>
      </w:r>
    </w:p>
    <w:p w14:paraId="5C714C01">
      <w:pPr>
        <w:pStyle w:val="10"/>
        <w:tabs>
          <w:tab w:val="left" w:pos="1389"/>
          <w:tab w:val="left" w:pos="4911"/>
          <w:tab w:val="left" w:pos="5898"/>
        </w:tabs>
        <w:spacing w:after="0"/>
        <w:ind w:firstLine="640" w:firstLineChars="200"/>
        <w:rPr>
          <w:szCs w:val="32"/>
        </w:rPr>
      </w:pPr>
      <w:r>
        <w:rPr>
          <w:szCs w:val="32"/>
        </w:rPr>
        <w:t>（4）财政专户管理资金收入0万元，与上年相比增加0万元，增长0%。主要原因是</w:t>
      </w:r>
      <w:r>
        <w:rPr>
          <w:rFonts w:hint="eastAsia"/>
          <w:kern w:val="0"/>
        </w:rPr>
        <w:t>不存在财政专户管理资金收入</w:t>
      </w:r>
      <w:r>
        <w:rPr>
          <w:szCs w:val="32"/>
        </w:rPr>
        <w:t>。</w:t>
      </w:r>
    </w:p>
    <w:p w14:paraId="31F5706A">
      <w:pPr>
        <w:pStyle w:val="10"/>
        <w:tabs>
          <w:tab w:val="left" w:pos="3310"/>
          <w:tab w:val="left" w:pos="3807"/>
          <w:tab w:val="left" w:pos="9433"/>
        </w:tabs>
        <w:spacing w:after="0"/>
        <w:ind w:firstLine="640" w:firstLineChars="200"/>
        <w:rPr>
          <w:szCs w:val="32"/>
        </w:rPr>
      </w:pPr>
      <w:r>
        <w:rPr>
          <w:szCs w:val="32"/>
        </w:rPr>
        <w:t>（5）事业收入0万元，与上年相比增加0万元，增长0%。主要原因是</w:t>
      </w:r>
      <w:r>
        <w:rPr>
          <w:rFonts w:hint="eastAsia"/>
          <w:kern w:val="0"/>
        </w:rPr>
        <w:t>不存在事业收入</w:t>
      </w:r>
      <w:r>
        <w:rPr>
          <w:szCs w:val="32"/>
        </w:rPr>
        <w:t>。</w:t>
      </w:r>
    </w:p>
    <w:p w14:paraId="25091BB8">
      <w:pPr>
        <w:pStyle w:val="10"/>
        <w:tabs>
          <w:tab w:val="left" w:pos="1389"/>
          <w:tab w:val="left" w:pos="4911"/>
          <w:tab w:val="left" w:pos="5900"/>
        </w:tabs>
        <w:spacing w:after="0"/>
        <w:ind w:firstLine="640" w:firstLineChars="200"/>
        <w:rPr>
          <w:szCs w:val="32"/>
        </w:rPr>
      </w:pPr>
      <w:r>
        <w:rPr>
          <w:szCs w:val="32"/>
        </w:rPr>
        <w:t>（6）事业单位经营收入0万元，与上年相比增加0万元，增长0%。主要原因是</w:t>
      </w:r>
      <w:r>
        <w:rPr>
          <w:rFonts w:hint="eastAsia"/>
          <w:kern w:val="0"/>
        </w:rPr>
        <w:t>不存在事业单位经营收入</w:t>
      </w:r>
      <w:r>
        <w:rPr>
          <w:szCs w:val="32"/>
        </w:rPr>
        <w:t>。</w:t>
      </w:r>
    </w:p>
    <w:p w14:paraId="707042BA">
      <w:pPr>
        <w:pStyle w:val="10"/>
        <w:tabs>
          <w:tab w:val="left" w:pos="4320"/>
          <w:tab w:val="left" w:pos="9433"/>
        </w:tabs>
        <w:spacing w:after="0"/>
        <w:ind w:firstLine="640" w:firstLineChars="200"/>
        <w:rPr>
          <w:szCs w:val="32"/>
        </w:rPr>
      </w:pPr>
      <w:r>
        <w:rPr>
          <w:szCs w:val="32"/>
        </w:rPr>
        <w:t>（7）上级补助收入0万元，与上年相比增加0万元，增长0%。主要原因是</w:t>
      </w:r>
      <w:r>
        <w:rPr>
          <w:rFonts w:hint="eastAsia"/>
          <w:kern w:val="0"/>
        </w:rPr>
        <w:t>不存在上级补助收入</w:t>
      </w:r>
      <w:r>
        <w:rPr>
          <w:szCs w:val="32"/>
        </w:rPr>
        <w:t>。</w:t>
      </w:r>
    </w:p>
    <w:p w14:paraId="1797E846">
      <w:pPr>
        <w:pStyle w:val="10"/>
        <w:tabs>
          <w:tab w:val="left" w:pos="1389"/>
          <w:tab w:val="left" w:pos="4911"/>
          <w:tab w:val="left" w:pos="5900"/>
        </w:tabs>
        <w:spacing w:after="0"/>
        <w:ind w:firstLine="640" w:firstLineChars="200"/>
        <w:rPr>
          <w:szCs w:val="32"/>
        </w:rPr>
      </w:pPr>
      <w:r>
        <w:rPr>
          <w:szCs w:val="32"/>
        </w:rPr>
        <w:t>（8）附属单位上缴收入0万元，与上年相比增加0万元，增长0%。主要原因是</w:t>
      </w:r>
      <w:r>
        <w:rPr>
          <w:rFonts w:hint="eastAsia"/>
          <w:kern w:val="0"/>
        </w:rPr>
        <w:t>不存在附属单位上缴收入</w:t>
      </w:r>
      <w:r>
        <w:rPr>
          <w:szCs w:val="32"/>
        </w:rPr>
        <w:t>。</w:t>
      </w:r>
    </w:p>
    <w:p w14:paraId="760B07D5">
      <w:pPr>
        <w:pStyle w:val="10"/>
        <w:tabs>
          <w:tab w:val="left" w:pos="3310"/>
          <w:tab w:val="left" w:pos="4121"/>
          <w:tab w:val="left" w:pos="9431"/>
        </w:tabs>
        <w:spacing w:after="0"/>
        <w:ind w:firstLine="640" w:firstLineChars="200"/>
        <w:rPr>
          <w:szCs w:val="32"/>
        </w:rPr>
      </w:pPr>
      <w:r>
        <w:rPr>
          <w:szCs w:val="32"/>
        </w:rPr>
        <w:t>（9）其他收入0万元，与上年相比增加0万元，增长0%。主要原因是</w:t>
      </w:r>
      <w:r>
        <w:rPr>
          <w:rFonts w:hint="eastAsia"/>
          <w:kern w:val="0"/>
        </w:rPr>
        <w:t>不存在其他收入</w:t>
      </w:r>
      <w:r>
        <w:rPr>
          <w:szCs w:val="32"/>
        </w:rPr>
        <w:t>。</w:t>
      </w:r>
    </w:p>
    <w:p w14:paraId="5F2C6715">
      <w:pPr>
        <w:pStyle w:val="10"/>
        <w:tabs>
          <w:tab w:val="left" w:pos="3310"/>
          <w:tab w:val="left" w:pos="4280"/>
          <w:tab w:val="left" w:pos="9431"/>
        </w:tabs>
        <w:spacing w:after="0"/>
        <w:ind w:firstLine="640" w:firstLineChars="200"/>
        <w:rPr>
          <w:szCs w:val="32"/>
        </w:rPr>
      </w:pPr>
      <w:r>
        <w:rPr>
          <w:szCs w:val="32"/>
        </w:rPr>
        <w:t>2．上年结转结余为0万元。与上年相比增加</w:t>
      </w:r>
      <w:r>
        <w:rPr>
          <w:rFonts w:hint="eastAsia"/>
          <w:szCs w:val="32"/>
        </w:rPr>
        <w:t>0</w:t>
      </w:r>
      <w:r>
        <w:rPr>
          <w:szCs w:val="32"/>
        </w:rPr>
        <w:t>万元，增长0%。主要原因是</w:t>
      </w:r>
      <w:r>
        <w:rPr>
          <w:rFonts w:hint="eastAsia"/>
          <w:kern w:val="0"/>
        </w:rPr>
        <w:t>无上年结转结余</w:t>
      </w:r>
      <w:r>
        <w:rPr>
          <w:szCs w:val="32"/>
        </w:rPr>
        <w:t>。</w:t>
      </w:r>
    </w:p>
    <w:p w14:paraId="6840CAB4">
      <w:pPr>
        <w:pStyle w:val="10"/>
        <w:tabs>
          <w:tab w:val="left" w:pos="4275"/>
        </w:tabs>
        <w:spacing w:after="0"/>
        <w:ind w:firstLine="643" w:firstLineChars="200"/>
        <w:rPr>
          <w:rFonts w:ascii="楷体" w:hAnsi="楷体" w:eastAsia="楷体" w:cs="楷体"/>
          <w:b/>
          <w:bCs/>
          <w:szCs w:val="32"/>
        </w:rPr>
      </w:pPr>
      <w:r>
        <w:rPr>
          <w:rFonts w:hint="eastAsia" w:ascii="楷体" w:hAnsi="楷体" w:eastAsia="楷体" w:cs="楷体"/>
          <w:b/>
          <w:bCs/>
          <w:szCs w:val="32"/>
        </w:rPr>
        <w:t>（二）支出预算总计414.58万元。包括：</w:t>
      </w:r>
    </w:p>
    <w:p w14:paraId="1F57C872">
      <w:pPr>
        <w:pStyle w:val="10"/>
        <w:tabs>
          <w:tab w:val="left" w:pos="3792"/>
        </w:tabs>
        <w:spacing w:after="0"/>
        <w:ind w:firstLine="640" w:firstLineChars="200"/>
        <w:rPr>
          <w:szCs w:val="32"/>
        </w:rPr>
      </w:pPr>
      <w:r>
        <w:rPr>
          <w:szCs w:val="32"/>
        </w:rPr>
        <w:t>1．本年支出合计414.58万元。</w:t>
      </w:r>
    </w:p>
    <w:p w14:paraId="424927B8">
      <w:pPr>
        <w:keepNext w:val="0"/>
        <w:keepLines w:val="0"/>
        <w:widowControl/>
        <w:suppressLineNumbers w:val="0"/>
        <w:ind w:firstLine="640" w:firstLineChars="200"/>
        <w:jc w:val="left"/>
        <w:rPr>
          <w:rFonts w:hint="eastAsia"/>
          <w:szCs w:val="32"/>
          <w:lang w:eastAsia="zh-CN"/>
        </w:rPr>
      </w:pPr>
      <w:r>
        <w:rPr>
          <w:szCs w:val="32"/>
        </w:rPr>
        <w:t>（1）</w:t>
      </w:r>
      <w:r>
        <w:rPr>
          <w:rFonts w:hint="eastAsia"/>
          <w:szCs w:val="32"/>
        </w:rPr>
        <w:t>社会保障和就业（</w:t>
      </w:r>
      <w:r>
        <w:rPr>
          <w:szCs w:val="32"/>
        </w:rPr>
        <w:t>类</w:t>
      </w:r>
      <w:r>
        <w:rPr>
          <w:rFonts w:hint="eastAsia"/>
          <w:szCs w:val="32"/>
        </w:rPr>
        <w:t>）</w:t>
      </w:r>
      <w:r>
        <w:rPr>
          <w:szCs w:val="32"/>
        </w:rPr>
        <w:t>支出52.85万元，主要用于</w:t>
      </w:r>
      <w:r>
        <w:rPr>
          <w:rFonts w:ascii="仿宋_GB2312" w:hAnsi="宋体" w:eastAsia="仿宋_GB2312" w:cs="仿宋_GB2312"/>
          <w:color w:val="000000"/>
          <w:kern w:val="0"/>
          <w:sz w:val="31"/>
          <w:szCs w:val="31"/>
          <w:lang w:val="en-US" w:eastAsia="zh-CN" w:bidi="ar"/>
        </w:rPr>
        <w:t>事业单位</w:t>
      </w:r>
      <w:r>
        <w:rPr>
          <w:rFonts w:hint="eastAsia" w:ascii="仿宋_GB2312" w:hAnsi="宋体" w:eastAsia="仿宋_GB2312" w:cs="仿宋_GB2312"/>
          <w:color w:val="000000"/>
          <w:kern w:val="0"/>
          <w:sz w:val="31"/>
          <w:szCs w:val="31"/>
          <w:lang w:val="en-US" w:eastAsia="zh-CN" w:bidi="ar"/>
        </w:rPr>
        <w:t>离退休人员、机关事业单位基本养老保险缴费支出</w:t>
      </w:r>
      <w:r>
        <w:rPr>
          <w:szCs w:val="32"/>
        </w:rPr>
        <w:t>。与上年相比增加11.8</w:t>
      </w:r>
      <w:r>
        <w:rPr>
          <w:rFonts w:hint="eastAsia"/>
          <w:szCs w:val="32"/>
          <w:lang w:val="en-US" w:eastAsia="zh-CN"/>
        </w:rPr>
        <w:t>0</w:t>
      </w:r>
      <w:r>
        <w:rPr>
          <w:szCs w:val="32"/>
        </w:rPr>
        <w:t>万元，增长28.75%。主要原因是</w:t>
      </w:r>
      <w:r>
        <w:rPr>
          <w:rFonts w:hint="eastAsia"/>
          <w:szCs w:val="32"/>
          <w:lang w:eastAsia="zh-CN"/>
        </w:rPr>
        <w:t>人员增加，养老保险基数增加。</w:t>
      </w:r>
    </w:p>
    <w:p w14:paraId="6321647F">
      <w:pPr>
        <w:keepNext w:val="0"/>
        <w:keepLines w:val="0"/>
        <w:widowControl/>
        <w:suppressLineNumbers w:val="0"/>
        <w:ind w:firstLine="640" w:firstLineChars="200"/>
        <w:jc w:val="left"/>
        <w:rPr>
          <w:szCs w:val="32"/>
        </w:rPr>
      </w:pPr>
      <w:r>
        <w:rPr>
          <w:szCs w:val="32"/>
        </w:rPr>
        <w:t>（2）</w:t>
      </w:r>
      <w:r>
        <w:rPr>
          <w:rFonts w:hint="eastAsia"/>
          <w:szCs w:val="32"/>
        </w:rPr>
        <w:t>卫生健康</w:t>
      </w:r>
      <w:r>
        <w:rPr>
          <w:szCs w:val="32"/>
        </w:rPr>
        <w:t>（类）支出14.83万元，主要用于</w:t>
      </w:r>
      <w:r>
        <w:rPr>
          <w:rFonts w:ascii="仿宋_GB2312" w:hAnsi="宋体" w:eastAsia="仿宋_GB2312" w:cs="仿宋_GB2312"/>
          <w:color w:val="000000"/>
          <w:kern w:val="0"/>
          <w:sz w:val="31"/>
          <w:szCs w:val="31"/>
          <w:lang w:val="en-US" w:eastAsia="zh-CN" w:bidi="ar"/>
        </w:rPr>
        <w:t>事业单位医疗保</w:t>
      </w:r>
      <w:r>
        <w:rPr>
          <w:rFonts w:hint="eastAsia" w:ascii="仿宋_GB2312" w:hAnsi="宋体" w:eastAsia="仿宋_GB2312" w:cs="仿宋_GB2312"/>
          <w:color w:val="000000"/>
          <w:kern w:val="0"/>
          <w:sz w:val="31"/>
          <w:szCs w:val="31"/>
          <w:lang w:val="en-US" w:eastAsia="zh-CN" w:bidi="ar"/>
        </w:rPr>
        <w:t>险。</w:t>
      </w:r>
      <w:r>
        <w:rPr>
          <w:szCs w:val="32"/>
        </w:rPr>
        <w:t>与上年相比增加</w:t>
      </w:r>
      <w:r>
        <w:rPr>
          <w:rFonts w:hint="eastAsia"/>
          <w:szCs w:val="32"/>
        </w:rPr>
        <w:t>1</w:t>
      </w:r>
      <w:r>
        <w:rPr>
          <w:szCs w:val="32"/>
        </w:rPr>
        <w:t>.97万元，增长15.32%。主要原因是</w:t>
      </w:r>
      <w:r>
        <w:rPr>
          <w:rFonts w:hint="eastAsia"/>
          <w:szCs w:val="32"/>
          <w:lang w:eastAsia="zh-CN"/>
        </w:rPr>
        <w:t>人员增加，医疗保险基数增加。</w:t>
      </w:r>
    </w:p>
    <w:p w14:paraId="2FEFAF99">
      <w:pPr>
        <w:pStyle w:val="10"/>
        <w:tabs>
          <w:tab w:val="left" w:pos="2671"/>
          <w:tab w:val="left" w:pos="5000"/>
          <w:tab w:val="left" w:pos="6190"/>
        </w:tabs>
        <w:spacing w:after="0"/>
        <w:ind w:firstLine="640" w:firstLineChars="200"/>
        <w:rPr>
          <w:rFonts w:ascii="仿宋" w:hAnsi="仿宋" w:eastAsia="仿宋" w:cs="仿宋"/>
          <w:szCs w:val="32"/>
        </w:rPr>
      </w:pPr>
      <w:r>
        <w:rPr>
          <w:szCs w:val="32"/>
          <w:highlight w:val="none"/>
        </w:rPr>
        <w:t>（3）</w:t>
      </w:r>
      <w:r>
        <w:rPr>
          <w:rFonts w:hint="eastAsia"/>
          <w:szCs w:val="32"/>
          <w:highlight w:val="none"/>
        </w:rPr>
        <w:t>住房保障</w:t>
      </w:r>
      <w:r>
        <w:rPr>
          <w:szCs w:val="32"/>
          <w:highlight w:val="none"/>
        </w:rPr>
        <w:t>（类）支出28.18万元，主要用于</w:t>
      </w:r>
      <w:r>
        <w:rPr>
          <w:rFonts w:hint="eastAsia"/>
          <w:szCs w:val="32"/>
          <w:highlight w:val="none"/>
          <w:lang w:val="en-US" w:eastAsia="zh-CN"/>
        </w:rPr>
        <w:t>职工缴住房公积金（单位部分）</w:t>
      </w:r>
      <w:r>
        <w:rPr>
          <w:szCs w:val="32"/>
          <w:highlight w:val="none"/>
        </w:rPr>
        <w:t>。与上年相比增加3.71万元，</w:t>
      </w:r>
      <w:r>
        <w:rPr>
          <w:szCs w:val="32"/>
        </w:rPr>
        <w:t>增长15.16%。主要原因是</w:t>
      </w:r>
      <w:r>
        <w:rPr>
          <w:rFonts w:hint="eastAsia"/>
          <w:szCs w:val="32"/>
          <w:lang w:eastAsia="zh-CN"/>
        </w:rPr>
        <w:t>人员增加，公积金基数增加。</w:t>
      </w:r>
    </w:p>
    <w:p w14:paraId="1CE5BBD4">
      <w:pPr>
        <w:keepNext w:val="0"/>
        <w:keepLines w:val="0"/>
        <w:widowControl/>
        <w:suppressLineNumbers w:val="0"/>
        <w:ind w:firstLine="640" w:firstLineChars="200"/>
        <w:jc w:val="left"/>
        <w:rPr>
          <w:highlight w:val="none"/>
        </w:rPr>
      </w:pPr>
      <w:r>
        <w:rPr>
          <w:szCs w:val="32"/>
          <w:highlight w:val="none"/>
        </w:rPr>
        <w:t>（4）</w:t>
      </w:r>
      <w:r>
        <w:rPr>
          <w:rFonts w:hint="eastAsia"/>
          <w:szCs w:val="32"/>
          <w:highlight w:val="none"/>
        </w:rPr>
        <w:t>灾害防治及应急管理</w:t>
      </w:r>
      <w:r>
        <w:rPr>
          <w:szCs w:val="32"/>
          <w:highlight w:val="none"/>
        </w:rPr>
        <w:t>（类）支出318.72万元，主要</w:t>
      </w:r>
      <w:r>
        <w:rPr>
          <w:rFonts w:ascii="仿宋_GB2312" w:hAnsi="宋体" w:eastAsia="仿宋_GB2312" w:cs="仿宋_GB2312"/>
          <w:color w:val="000000"/>
          <w:kern w:val="0"/>
          <w:sz w:val="31"/>
          <w:szCs w:val="31"/>
          <w:highlight w:val="none"/>
          <w:lang w:val="en-US" w:eastAsia="zh-CN" w:bidi="ar"/>
        </w:rPr>
        <w:t>用于地震</w:t>
      </w:r>
      <w:r>
        <w:rPr>
          <w:rFonts w:hint="eastAsia" w:ascii="仿宋_GB2312" w:hAnsi="宋体" w:eastAsia="仿宋_GB2312" w:cs="仿宋_GB2312"/>
          <w:color w:val="000000"/>
          <w:kern w:val="0"/>
          <w:sz w:val="31"/>
          <w:szCs w:val="31"/>
          <w:highlight w:val="none"/>
          <w:lang w:val="en-US" w:eastAsia="zh-CN" w:bidi="ar"/>
        </w:rPr>
        <w:t>事务与地震监测。</w:t>
      </w:r>
      <w:r>
        <w:rPr>
          <w:szCs w:val="32"/>
          <w:highlight w:val="none"/>
        </w:rPr>
        <w:t>与上年相比增加39.04万元，增长13.96%。主要原因是</w:t>
      </w:r>
      <w:r>
        <w:rPr>
          <w:rFonts w:hint="eastAsia"/>
          <w:szCs w:val="32"/>
          <w:highlight w:val="none"/>
          <w:lang w:eastAsia="zh-CN"/>
        </w:rPr>
        <w:t>人员增加。</w:t>
      </w:r>
    </w:p>
    <w:p w14:paraId="3AA032A1">
      <w:pPr>
        <w:pStyle w:val="10"/>
        <w:tabs>
          <w:tab w:val="left" w:pos="4112"/>
        </w:tabs>
        <w:spacing w:after="0"/>
        <w:ind w:firstLine="640" w:firstLineChars="200"/>
        <w:rPr>
          <w:szCs w:val="32"/>
        </w:rPr>
      </w:pPr>
      <w:r>
        <w:rPr>
          <w:szCs w:val="32"/>
        </w:rPr>
        <w:t>2．年终结转结余为0万元，主要原因是</w:t>
      </w:r>
      <w:r>
        <w:rPr>
          <w:rFonts w:hint="eastAsia"/>
          <w:kern w:val="0"/>
        </w:rPr>
        <w:t>无年终结转结余</w:t>
      </w:r>
      <w:r>
        <w:rPr>
          <w:szCs w:val="32"/>
        </w:rPr>
        <w:t>。</w:t>
      </w:r>
    </w:p>
    <w:p w14:paraId="7F9FE6D8">
      <w:pPr>
        <w:ind w:firstLine="640" w:firstLineChars="200"/>
        <w:outlineLvl w:val="0"/>
        <w:rPr>
          <w:rFonts w:eastAsia="黑体" w:cs="黑体"/>
          <w:szCs w:val="36"/>
        </w:rPr>
      </w:pPr>
      <w:r>
        <w:rPr>
          <w:rFonts w:hint="eastAsia" w:eastAsia="黑体" w:cs="黑体"/>
          <w:szCs w:val="36"/>
        </w:rPr>
        <w:t>二、收入预算情况说明</w:t>
      </w:r>
    </w:p>
    <w:p w14:paraId="52CFFE6D">
      <w:pPr>
        <w:pStyle w:val="10"/>
        <w:tabs>
          <w:tab w:val="left" w:pos="2671"/>
          <w:tab w:val="left" w:pos="5000"/>
          <w:tab w:val="left" w:pos="5245"/>
        </w:tabs>
        <w:spacing w:after="0"/>
        <w:ind w:firstLine="640" w:firstLineChars="200"/>
        <w:rPr>
          <w:szCs w:val="32"/>
          <w:highlight w:val="none"/>
        </w:rPr>
      </w:pPr>
      <w:r>
        <w:rPr>
          <w:rFonts w:hint="eastAsia"/>
          <w:szCs w:val="32"/>
          <w:highlight w:val="none"/>
        </w:rPr>
        <w:t>包头地震台2</w:t>
      </w:r>
      <w:r>
        <w:rPr>
          <w:szCs w:val="32"/>
          <w:highlight w:val="none"/>
        </w:rPr>
        <w:t>026年收入预算合计414.58万元，包括本年收入</w:t>
      </w:r>
      <w:r>
        <w:rPr>
          <w:rFonts w:hint="eastAsia"/>
          <w:szCs w:val="32"/>
          <w:highlight w:val="none"/>
          <w:lang w:val="en-US" w:eastAsia="zh-CN"/>
        </w:rPr>
        <w:t>414.58</w:t>
      </w:r>
      <w:r>
        <w:rPr>
          <w:szCs w:val="32"/>
          <w:highlight w:val="none"/>
        </w:rPr>
        <w:t>万元，上年结转结余0万元。其中：</w:t>
      </w:r>
    </w:p>
    <w:p w14:paraId="6BFD81DE">
      <w:pPr>
        <w:pStyle w:val="10"/>
        <w:tabs>
          <w:tab w:val="left" w:pos="2671"/>
          <w:tab w:val="left" w:pos="5000"/>
          <w:tab w:val="left" w:pos="6190"/>
        </w:tabs>
        <w:spacing w:after="0"/>
        <w:ind w:firstLine="640" w:firstLineChars="200"/>
        <w:rPr>
          <w:szCs w:val="32"/>
        </w:rPr>
      </w:pPr>
      <w:r>
        <w:rPr>
          <w:szCs w:val="32"/>
        </w:rPr>
        <w:t>本年一般公共预算收入414.58万元，占100%；</w:t>
      </w:r>
    </w:p>
    <w:p w14:paraId="1F4FD458">
      <w:pPr>
        <w:pStyle w:val="10"/>
        <w:tabs>
          <w:tab w:val="left" w:pos="2671"/>
          <w:tab w:val="left" w:pos="5000"/>
          <w:tab w:val="left" w:pos="6190"/>
        </w:tabs>
        <w:spacing w:after="0"/>
        <w:ind w:firstLine="640" w:firstLineChars="200"/>
        <w:rPr>
          <w:szCs w:val="32"/>
          <w:highlight w:val="yellow"/>
        </w:rPr>
      </w:pPr>
      <w:r>
        <w:rPr>
          <w:szCs w:val="32"/>
        </w:rPr>
        <w:t>本年政府性基金预算收入0万元</w:t>
      </w:r>
      <w:r>
        <w:rPr>
          <w:szCs w:val="32"/>
          <w:highlight w:val="none"/>
        </w:rPr>
        <w:t>，占0%；</w:t>
      </w:r>
    </w:p>
    <w:p w14:paraId="6158E560">
      <w:pPr>
        <w:pStyle w:val="10"/>
        <w:tabs>
          <w:tab w:val="left" w:pos="2671"/>
          <w:tab w:val="left" w:pos="5000"/>
          <w:tab w:val="left" w:pos="6190"/>
        </w:tabs>
        <w:spacing w:after="0"/>
        <w:ind w:firstLine="640" w:firstLineChars="200"/>
        <w:rPr>
          <w:szCs w:val="32"/>
        </w:rPr>
      </w:pPr>
      <w:r>
        <w:rPr>
          <w:szCs w:val="32"/>
        </w:rPr>
        <w:t>本年国有资本经营预算收入0万元，占0%；</w:t>
      </w:r>
    </w:p>
    <w:p w14:paraId="1DEB64BF">
      <w:pPr>
        <w:pStyle w:val="10"/>
        <w:tabs>
          <w:tab w:val="left" w:pos="2671"/>
          <w:tab w:val="left" w:pos="5000"/>
          <w:tab w:val="left" w:pos="6190"/>
        </w:tabs>
        <w:spacing w:after="0"/>
        <w:ind w:firstLine="640" w:firstLineChars="200"/>
        <w:rPr>
          <w:szCs w:val="32"/>
        </w:rPr>
      </w:pPr>
      <w:r>
        <w:rPr>
          <w:szCs w:val="32"/>
        </w:rPr>
        <w:t>本年财政专户管理资金0万元，占0%；</w:t>
      </w:r>
    </w:p>
    <w:p w14:paraId="18528925">
      <w:pPr>
        <w:pStyle w:val="10"/>
        <w:tabs>
          <w:tab w:val="left" w:pos="2671"/>
          <w:tab w:val="left" w:pos="5000"/>
          <w:tab w:val="left" w:pos="6190"/>
        </w:tabs>
        <w:spacing w:after="0"/>
        <w:ind w:firstLine="640" w:firstLineChars="200"/>
        <w:rPr>
          <w:szCs w:val="32"/>
        </w:rPr>
      </w:pPr>
      <w:r>
        <w:rPr>
          <w:szCs w:val="32"/>
        </w:rPr>
        <w:t>本年事业收入0万元，占0%；</w:t>
      </w:r>
    </w:p>
    <w:p w14:paraId="72015255">
      <w:pPr>
        <w:pStyle w:val="10"/>
        <w:tabs>
          <w:tab w:val="left" w:pos="2671"/>
          <w:tab w:val="left" w:pos="5000"/>
          <w:tab w:val="left" w:pos="6190"/>
        </w:tabs>
        <w:spacing w:after="0"/>
        <w:ind w:firstLine="640" w:firstLineChars="200"/>
        <w:rPr>
          <w:szCs w:val="32"/>
        </w:rPr>
      </w:pPr>
      <w:r>
        <w:rPr>
          <w:szCs w:val="32"/>
        </w:rPr>
        <w:t>本年事业单位经营收入0万元，占0%；</w:t>
      </w:r>
    </w:p>
    <w:p w14:paraId="1407DD1C">
      <w:pPr>
        <w:pStyle w:val="10"/>
        <w:tabs>
          <w:tab w:val="left" w:pos="2671"/>
          <w:tab w:val="left" w:pos="5000"/>
          <w:tab w:val="left" w:pos="6190"/>
        </w:tabs>
        <w:spacing w:after="0"/>
        <w:ind w:firstLine="640" w:firstLineChars="200"/>
        <w:rPr>
          <w:szCs w:val="32"/>
        </w:rPr>
      </w:pPr>
      <w:r>
        <w:rPr>
          <w:szCs w:val="32"/>
        </w:rPr>
        <w:t>本年上级补助收入0万元，占0%；</w:t>
      </w:r>
    </w:p>
    <w:p w14:paraId="090E49BD">
      <w:pPr>
        <w:pStyle w:val="10"/>
        <w:tabs>
          <w:tab w:val="left" w:pos="2671"/>
          <w:tab w:val="left" w:pos="5000"/>
          <w:tab w:val="left" w:pos="6190"/>
        </w:tabs>
        <w:spacing w:after="0"/>
        <w:ind w:firstLine="640" w:firstLineChars="200"/>
        <w:rPr>
          <w:szCs w:val="32"/>
        </w:rPr>
      </w:pPr>
      <w:r>
        <w:rPr>
          <w:szCs w:val="32"/>
        </w:rPr>
        <w:t>本年附属单位上缴收入0万元，占0%；</w:t>
      </w:r>
    </w:p>
    <w:p w14:paraId="70AE9511">
      <w:pPr>
        <w:pStyle w:val="10"/>
        <w:tabs>
          <w:tab w:val="left" w:pos="2671"/>
          <w:tab w:val="left" w:pos="5000"/>
          <w:tab w:val="left" w:pos="6190"/>
        </w:tabs>
        <w:spacing w:after="0"/>
        <w:ind w:firstLine="640" w:firstLineChars="200"/>
        <w:rPr>
          <w:szCs w:val="32"/>
        </w:rPr>
      </w:pPr>
      <w:r>
        <w:rPr>
          <w:szCs w:val="32"/>
        </w:rPr>
        <w:t>本年其他收入0万元，占0%；</w:t>
      </w:r>
    </w:p>
    <w:p w14:paraId="7F333892">
      <w:pPr>
        <w:pStyle w:val="10"/>
        <w:tabs>
          <w:tab w:val="left" w:pos="2671"/>
          <w:tab w:val="left" w:pos="5000"/>
          <w:tab w:val="left" w:pos="6190"/>
        </w:tabs>
        <w:spacing w:after="0"/>
        <w:ind w:firstLine="640" w:firstLineChars="200"/>
        <w:rPr>
          <w:szCs w:val="32"/>
        </w:rPr>
      </w:pPr>
      <w:r>
        <w:rPr>
          <w:szCs w:val="32"/>
        </w:rPr>
        <w:t>上年结转结余的一般公共预算收入0万元，占0%；</w:t>
      </w:r>
    </w:p>
    <w:p w14:paraId="697F119F">
      <w:pPr>
        <w:pStyle w:val="10"/>
        <w:tabs>
          <w:tab w:val="left" w:pos="2671"/>
          <w:tab w:val="left" w:pos="5000"/>
          <w:tab w:val="left" w:pos="6190"/>
        </w:tabs>
        <w:spacing w:after="0"/>
        <w:ind w:firstLine="640" w:firstLineChars="200"/>
        <w:rPr>
          <w:szCs w:val="32"/>
        </w:rPr>
      </w:pPr>
      <w:r>
        <w:rPr>
          <w:szCs w:val="32"/>
        </w:rPr>
        <w:t>上年结转结余的政府性基金预算收入0万元，占0%；</w:t>
      </w:r>
    </w:p>
    <w:p w14:paraId="4FF351FB">
      <w:pPr>
        <w:pStyle w:val="10"/>
        <w:tabs>
          <w:tab w:val="left" w:pos="2671"/>
          <w:tab w:val="left" w:pos="5000"/>
          <w:tab w:val="left" w:pos="6190"/>
        </w:tabs>
        <w:spacing w:after="0"/>
        <w:ind w:firstLine="640" w:firstLineChars="200"/>
        <w:rPr>
          <w:szCs w:val="32"/>
        </w:rPr>
      </w:pPr>
      <w:r>
        <w:rPr>
          <w:szCs w:val="32"/>
        </w:rPr>
        <w:t>上年结转结余的国有资本经营预算收入0万元，占0%；</w:t>
      </w:r>
    </w:p>
    <w:p w14:paraId="0EEF8921">
      <w:pPr>
        <w:pStyle w:val="10"/>
        <w:tabs>
          <w:tab w:val="left" w:pos="2671"/>
          <w:tab w:val="left" w:pos="5000"/>
          <w:tab w:val="left" w:pos="6190"/>
        </w:tabs>
        <w:spacing w:after="0"/>
        <w:ind w:firstLine="640" w:firstLineChars="200"/>
        <w:rPr>
          <w:szCs w:val="32"/>
        </w:rPr>
      </w:pPr>
      <w:r>
        <w:rPr>
          <w:szCs w:val="32"/>
        </w:rPr>
        <w:t>上年结转结余的财政专户管理资金0万元，占0%；</w:t>
      </w:r>
    </w:p>
    <w:p w14:paraId="6BD6287E">
      <w:pPr>
        <w:pStyle w:val="10"/>
        <w:tabs>
          <w:tab w:val="left" w:pos="2671"/>
          <w:tab w:val="left" w:pos="5000"/>
          <w:tab w:val="left" w:pos="6190"/>
        </w:tabs>
        <w:spacing w:after="0"/>
        <w:ind w:firstLine="640" w:firstLineChars="200"/>
        <w:rPr>
          <w:rFonts w:hint="eastAsia" w:eastAsia="仿宋_GB2312"/>
          <w:szCs w:val="32"/>
          <w:highlight w:val="yellow"/>
          <w:lang w:eastAsia="zh-CN"/>
        </w:rPr>
      </w:pPr>
      <w:r>
        <w:rPr>
          <w:szCs w:val="32"/>
        </w:rPr>
        <w:t>上年结转结余的单位资金0万元</w:t>
      </w:r>
      <w:r>
        <w:rPr>
          <w:szCs w:val="32"/>
          <w:highlight w:val="none"/>
        </w:rPr>
        <w:t>，占0%</w:t>
      </w:r>
      <w:r>
        <w:rPr>
          <w:rFonts w:hint="eastAsia"/>
          <w:szCs w:val="32"/>
          <w:highlight w:val="none"/>
          <w:lang w:eastAsia="zh-CN"/>
        </w:rPr>
        <w:t>。</w:t>
      </w:r>
    </w:p>
    <w:p w14:paraId="2D14C2FC">
      <w:pPr>
        <w:ind w:firstLine="640" w:firstLineChars="200"/>
        <w:outlineLvl w:val="0"/>
        <w:rPr>
          <w:rFonts w:eastAsia="黑体" w:cs="黑体"/>
          <w:szCs w:val="36"/>
        </w:rPr>
      </w:pPr>
      <w:r>
        <w:rPr>
          <w:rFonts w:hint="eastAsia" w:eastAsia="黑体" w:cs="黑体"/>
          <w:szCs w:val="36"/>
        </w:rPr>
        <w:t>三、支出预算情况说明</w:t>
      </w:r>
    </w:p>
    <w:p w14:paraId="2F6E9770">
      <w:pPr>
        <w:pStyle w:val="10"/>
        <w:tabs>
          <w:tab w:val="left" w:pos="2671"/>
          <w:tab w:val="left" w:pos="5000"/>
          <w:tab w:val="left" w:pos="6190"/>
        </w:tabs>
        <w:spacing w:after="0"/>
        <w:ind w:firstLine="640" w:firstLineChars="200"/>
        <w:rPr>
          <w:szCs w:val="32"/>
        </w:rPr>
      </w:pPr>
      <w:r>
        <w:rPr>
          <w:rFonts w:hint="eastAsia"/>
          <w:szCs w:val="32"/>
        </w:rPr>
        <w:t>包头市地震台</w:t>
      </w:r>
      <w:r>
        <w:rPr>
          <w:szCs w:val="32"/>
        </w:rPr>
        <w:t>年支出预算合计414.58万元，其中：</w:t>
      </w:r>
    </w:p>
    <w:p w14:paraId="5F34DA69">
      <w:pPr>
        <w:pStyle w:val="10"/>
        <w:tabs>
          <w:tab w:val="left" w:pos="2671"/>
          <w:tab w:val="left" w:pos="5000"/>
          <w:tab w:val="left" w:pos="6190"/>
        </w:tabs>
        <w:spacing w:after="0"/>
        <w:ind w:firstLine="640" w:firstLineChars="200"/>
        <w:rPr>
          <w:szCs w:val="32"/>
        </w:rPr>
      </w:pPr>
      <w:r>
        <w:rPr>
          <w:szCs w:val="32"/>
        </w:rPr>
        <w:t>基本支出414.58万元，占100%；</w:t>
      </w:r>
    </w:p>
    <w:p w14:paraId="7AD4EED2">
      <w:pPr>
        <w:pStyle w:val="10"/>
        <w:tabs>
          <w:tab w:val="left" w:pos="2671"/>
          <w:tab w:val="left" w:pos="5000"/>
          <w:tab w:val="left" w:pos="6190"/>
        </w:tabs>
        <w:spacing w:after="0"/>
        <w:ind w:firstLine="640" w:firstLineChars="200"/>
        <w:rPr>
          <w:szCs w:val="32"/>
        </w:rPr>
      </w:pPr>
      <w:r>
        <w:rPr>
          <w:szCs w:val="32"/>
        </w:rPr>
        <w:t>项目支出0万元，占0%；</w:t>
      </w:r>
    </w:p>
    <w:p w14:paraId="725E0169">
      <w:pPr>
        <w:pStyle w:val="10"/>
        <w:tabs>
          <w:tab w:val="left" w:pos="2671"/>
          <w:tab w:val="left" w:pos="5000"/>
          <w:tab w:val="left" w:pos="6190"/>
        </w:tabs>
        <w:spacing w:after="0"/>
        <w:ind w:firstLine="640" w:firstLineChars="200"/>
        <w:rPr>
          <w:rFonts w:ascii="仿宋" w:hAnsi="仿宋" w:eastAsia="仿宋" w:cs="仿宋"/>
          <w:szCs w:val="32"/>
        </w:rPr>
      </w:pPr>
      <w:r>
        <w:rPr>
          <w:szCs w:val="32"/>
        </w:rPr>
        <w:t>事业单位经营支出0万元，占0%；</w:t>
      </w:r>
    </w:p>
    <w:p w14:paraId="4F3624DA">
      <w:pPr>
        <w:pStyle w:val="10"/>
        <w:tabs>
          <w:tab w:val="left" w:pos="2671"/>
          <w:tab w:val="left" w:pos="5000"/>
          <w:tab w:val="left" w:pos="6190"/>
        </w:tabs>
        <w:spacing w:after="0"/>
        <w:ind w:firstLine="640" w:firstLineChars="200"/>
        <w:rPr>
          <w:szCs w:val="32"/>
        </w:rPr>
      </w:pPr>
      <w:r>
        <w:rPr>
          <w:szCs w:val="32"/>
        </w:rPr>
        <w:t>上缴上级支出0万元，占0%；</w:t>
      </w:r>
    </w:p>
    <w:p w14:paraId="095884AD">
      <w:pPr>
        <w:pStyle w:val="10"/>
        <w:tabs>
          <w:tab w:val="left" w:pos="2671"/>
          <w:tab w:val="left" w:pos="5000"/>
          <w:tab w:val="left" w:pos="6190"/>
        </w:tabs>
        <w:spacing w:after="0"/>
        <w:ind w:firstLine="640" w:firstLineChars="200"/>
        <w:rPr>
          <w:szCs w:val="32"/>
        </w:rPr>
      </w:pPr>
      <w:r>
        <w:rPr>
          <w:szCs w:val="32"/>
        </w:rPr>
        <w:t>对附属单位补助支出0万元，占0%。</w:t>
      </w:r>
    </w:p>
    <w:p w14:paraId="7DCB9DD6">
      <w:pPr>
        <w:ind w:firstLine="640" w:firstLineChars="200"/>
        <w:outlineLvl w:val="0"/>
        <w:rPr>
          <w:rFonts w:eastAsia="黑体" w:cs="黑体"/>
          <w:szCs w:val="36"/>
        </w:rPr>
      </w:pPr>
      <w:r>
        <w:rPr>
          <w:rFonts w:hint="eastAsia" w:eastAsia="黑体" w:cs="黑体"/>
          <w:szCs w:val="36"/>
        </w:rPr>
        <w:t>四、财政拨款收支预算总体情况说明</w:t>
      </w:r>
    </w:p>
    <w:p w14:paraId="67DEE61C">
      <w:pPr>
        <w:pStyle w:val="10"/>
        <w:tabs>
          <w:tab w:val="left" w:pos="2671"/>
          <w:tab w:val="left" w:pos="5000"/>
          <w:tab w:val="left" w:pos="6190"/>
        </w:tabs>
        <w:spacing w:after="0"/>
        <w:ind w:firstLine="640" w:firstLineChars="200"/>
        <w:rPr>
          <w:rFonts w:ascii="仿宋" w:hAnsi="仿宋" w:eastAsia="仿宋" w:cs="仿宋"/>
          <w:szCs w:val="32"/>
        </w:rPr>
      </w:pPr>
      <w:r>
        <w:rPr>
          <w:rFonts w:hint="eastAsia"/>
          <w:szCs w:val="32"/>
        </w:rPr>
        <w:t>包头市地震台2</w:t>
      </w:r>
      <w:r>
        <w:rPr>
          <w:szCs w:val="32"/>
        </w:rPr>
        <w:t>026年度财政拨款收、支总预算414.58万元。与上年相比，财政拨款收、支总计各增加56.52万元，增长15.</w:t>
      </w:r>
      <w:r>
        <w:rPr>
          <w:rFonts w:hint="eastAsia"/>
          <w:szCs w:val="32"/>
          <w:lang w:val="en-US" w:eastAsia="zh-CN"/>
        </w:rPr>
        <w:t>79</w:t>
      </w:r>
      <w:r>
        <w:rPr>
          <w:szCs w:val="32"/>
        </w:rPr>
        <w:t>%。主要原因是</w:t>
      </w:r>
      <w:r>
        <w:rPr>
          <w:rFonts w:hint="eastAsia"/>
          <w:szCs w:val="32"/>
          <w:lang w:eastAsia="zh-CN"/>
        </w:rPr>
        <w:t>人员增加，工资增加</w:t>
      </w:r>
      <w:r>
        <w:rPr>
          <w:szCs w:val="32"/>
        </w:rPr>
        <w:t>。</w:t>
      </w:r>
    </w:p>
    <w:p w14:paraId="7BF61C3B">
      <w:pPr>
        <w:ind w:firstLine="640" w:firstLineChars="200"/>
        <w:outlineLvl w:val="0"/>
        <w:rPr>
          <w:rFonts w:eastAsia="黑体" w:cs="黑体"/>
          <w:szCs w:val="36"/>
        </w:rPr>
      </w:pPr>
      <w:r>
        <w:rPr>
          <w:rFonts w:hint="eastAsia" w:eastAsia="黑体" w:cs="黑体"/>
          <w:szCs w:val="36"/>
        </w:rPr>
        <w:t>五、一般公共预算支出预算情况说明</w:t>
      </w:r>
    </w:p>
    <w:p w14:paraId="35F4FCA6">
      <w:pPr>
        <w:pStyle w:val="10"/>
        <w:tabs>
          <w:tab w:val="left" w:pos="2671"/>
          <w:tab w:val="left" w:pos="5000"/>
          <w:tab w:val="left" w:pos="6190"/>
        </w:tabs>
        <w:spacing w:after="0"/>
        <w:ind w:firstLine="640" w:firstLineChars="200"/>
        <w:rPr>
          <w:szCs w:val="32"/>
        </w:rPr>
      </w:pPr>
      <w:r>
        <w:rPr>
          <w:rFonts w:hint="eastAsia"/>
          <w:szCs w:val="32"/>
        </w:rPr>
        <w:t>包头市地震台2</w:t>
      </w:r>
      <w:r>
        <w:rPr>
          <w:szCs w:val="32"/>
        </w:rPr>
        <w:t>026年一般公共预算财政拨款支出预算414.58万元，与上年相比增加56</w:t>
      </w:r>
      <w:r>
        <w:rPr>
          <w:rFonts w:hint="eastAsia"/>
          <w:szCs w:val="32"/>
        </w:rPr>
        <w:t>.</w:t>
      </w:r>
      <w:r>
        <w:rPr>
          <w:szCs w:val="32"/>
        </w:rPr>
        <w:t>52万元，增长15.</w:t>
      </w:r>
      <w:r>
        <w:rPr>
          <w:rFonts w:hint="eastAsia"/>
          <w:szCs w:val="32"/>
          <w:lang w:val="en-US" w:eastAsia="zh-CN"/>
        </w:rPr>
        <w:t>79</w:t>
      </w:r>
      <w:r>
        <w:rPr>
          <w:szCs w:val="32"/>
        </w:rPr>
        <w:t>%。主要原因是</w:t>
      </w:r>
      <w:r>
        <w:rPr>
          <w:rFonts w:hint="eastAsia"/>
          <w:szCs w:val="32"/>
          <w:lang w:eastAsia="zh-CN"/>
        </w:rPr>
        <w:t>人员增加，工资增加</w:t>
      </w:r>
      <w:r>
        <w:rPr>
          <w:szCs w:val="32"/>
        </w:rPr>
        <w:t>。</w:t>
      </w:r>
    </w:p>
    <w:p w14:paraId="171B044B">
      <w:pPr>
        <w:pStyle w:val="10"/>
        <w:tabs>
          <w:tab w:val="left" w:pos="4275"/>
        </w:tabs>
        <w:spacing w:after="0"/>
        <w:ind w:firstLine="643" w:firstLineChars="200"/>
        <w:rPr>
          <w:rFonts w:hint="eastAsia" w:ascii="楷体" w:hAnsi="楷体" w:eastAsia="楷体" w:cs="楷体"/>
          <w:b/>
          <w:bCs/>
          <w:szCs w:val="32"/>
        </w:rPr>
      </w:pPr>
      <w:r>
        <w:rPr>
          <w:rFonts w:hint="eastAsia" w:ascii="楷体" w:hAnsi="楷体" w:eastAsia="楷体" w:cs="楷体"/>
          <w:b/>
          <w:bCs/>
          <w:szCs w:val="32"/>
        </w:rPr>
        <w:t>（一）社会保障和就业支出（类）</w:t>
      </w:r>
    </w:p>
    <w:p w14:paraId="2160C36B">
      <w:pPr>
        <w:pStyle w:val="10"/>
        <w:ind w:firstLine="640" w:firstLineChars="200"/>
        <w:rPr>
          <w:szCs w:val="32"/>
        </w:rPr>
      </w:pPr>
      <w:r>
        <w:rPr>
          <w:rFonts w:hint="eastAsia"/>
          <w:szCs w:val="32"/>
        </w:rPr>
        <w:t>社会保障和就业支出类年初预算数为</w:t>
      </w:r>
      <w:r>
        <w:rPr>
          <w:szCs w:val="32"/>
        </w:rPr>
        <w:t>52.85</w:t>
      </w:r>
      <w:r>
        <w:rPr>
          <w:rFonts w:hint="eastAsia"/>
          <w:szCs w:val="32"/>
        </w:rPr>
        <w:t>万元，与上年相比增加1</w:t>
      </w:r>
      <w:r>
        <w:rPr>
          <w:szCs w:val="32"/>
        </w:rPr>
        <w:t>1.80</w:t>
      </w:r>
      <w:r>
        <w:rPr>
          <w:rFonts w:hint="eastAsia"/>
          <w:szCs w:val="32"/>
        </w:rPr>
        <w:t>万元。其中：</w:t>
      </w:r>
    </w:p>
    <w:p w14:paraId="016D938D">
      <w:pPr>
        <w:pStyle w:val="10"/>
        <w:spacing w:after="0"/>
        <w:ind w:firstLine="640" w:firstLineChars="200"/>
        <w:rPr>
          <w:szCs w:val="32"/>
        </w:rPr>
      </w:pPr>
      <w:r>
        <w:rPr>
          <w:szCs w:val="32"/>
        </w:rPr>
        <w:t>1.</w:t>
      </w:r>
      <w:r>
        <w:rPr>
          <w:rFonts w:hint="eastAsia"/>
          <w:kern w:val="0"/>
        </w:rPr>
        <w:t>行政事业单位养老支出（款）事业单位离退休（项）</w:t>
      </w:r>
      <w:r>
        <w:rPr>
          <w:szCs w:val="32"/>
        </w:rPr>
        <w:t>。年初预算16.45万元，与上年相比增加</w:t>
      </w:r>
      <w:r>
        <w:rPr>
          <w:rFonts w:hint="eastAsia"/>
          <w:szCs w:val="32"/>
        </w:rPr>
        <w:t>6</w:t>
      </w:r>
      <w:r>
        <w:rPr>
          <w:szCs w:val="32"/>
        </w:rPr>
        <w:t>.96万元，增长</w:t>
      </w:r>
      <w:r>
        <w:rPr>
          <w:rFonts w:hint="eastAsia"/>
          <w:szCs w:val="32"/>
        </w:rPr>
        <w:t>7</w:t>
      </w:r>
      <w:r>
        <w:rPr>
          <w:szCs w:val="32"/>
        </w:rPr>
        <w:t>3.34%。变动原因：</w:t>
      </w:r>
      <w:r>
        <w:rPr>
          <w:rFonts w:hint="eastAsia"/>
          <w:szCs w:val="32"/>
          <w:lang w:eastAsia="zh-CN"/>
        </w:rPr>
        <w:t>退休人员较上年增加</w:t>
      </w:r>
      <w:r>
        <w:rPr>
          <w:rFonts w:hint="eastAsia"/>
          <w:szCs w:val="32"/>
          <w:lang w:val="en-US" w:eastAsia="zh-CN"/>
        </w:rPr>
        <w:t>1人及工资也相应增加</w:t>
      </w:r>
      <w:r>
        <w:rPr>
          <w:szCs w:val="32"/>
        </w:rPr>
        <w:t>。</w:t>
      </w:r>
    </w:p>
    <w:p w14:paraId="5D566062">
      <w:pPr>
        <w:pStyle w:val="10"/>
        <w:spacing w:after="0"/>
        <w:ind w:firstLine="640" w:firstLineChars="200"/>
        <w:rPr>
          <w:rFonts w:hint="eastAsia"/>
          <w:szCs w:val="32"/>
        </w:rPr>
      </w:pPr>
      <w:r>
        <w:rPr>
          <w:szCs w:val="32"/>
        </w:rPr>
        <w:t>2</w:t>
      </w:r>
      <w:r>
        <w:rPr>
          <w:rFonts w:hint="eastAsia"/>
          <w:szCs w:val="32"/>
          <w:lang w:eastAsia="zh-CN"/>
        </w:rPr>
        <w:t>.</w:t>
      </w:r>
      <w:r>
        <w:rPr>
          <w:rFonts w:hint="eastAsia"/>
          <w:kern w:val="0"/>
        </w:rPr>
        <w:t>行政事业单位养老支出（款）机关事业单位基本养老保险缴费支出（项）</w:t>
      </w:r>
      <w:r>
        <w:rPr>
          <w:szCs w:val="32"/>
        </w:rPr>
        <w:t>。年初预算36</w:t>
      </w:r>
      <w:r>
        <w:rPr>
          <w:rFonts w:hint="eastAsia"/>
          <w:szCs w:val="32"/>
        </w:rPr>
        <w:t>.3</w:t>
      </w:r>
      <w:r>
        <w:rPr>
          <w:szCs w:val="32"/>
        </w:rPr>
        <w:t>9万元，与上年相比增加4.84万元，增长15.34%。变动原因：</w:t>
      </w:r>
      <w:r>
        <w:rPr>
          <w:rFonts w:hint="eastAsia"/>
          <w:szCs w:val="32"/>
          <w:lang w:eastAsia="zh-CN"/>
        </w:rPr>
        <w:t>人员增加，养老保险基数也增加</w:t>
      </w:r>
      <w:r>
        <w:rPr>
          <w:szCs w:val="32"/>
        </w:rPr>
        <w:t>。</w:t>
      </w:r>
    </w:p>
    <w:p w14:paraId="550B5C90">
      <w:pPr>
        <w:pStyle w:val="10"/>
        <w:tabs>
          <w:tab w:val="left" w:pos="4275"/>
        </w:tabs>
        <w:spacing w:after="0"/>
        <w:ind w:firstLine="643" w:firstLineChars="200"/>
        <w:rPr>
          <w:rFonts w:ascii="楷体" w:hAnsi="楷体" w:eastAsia="楷体" w:cs="楷体"/>
          <w:b/>
          <w:bCs/>
          <w:szCs w:val="32"/>
        </w:rPr>
      </w:pPr>
      <w:r>
        <w:rPr>
          <w:rFonts w:hint="eastAsia" w:ascii="楷体" w:hAnsi="楷体" w:eastAsia="楷体" w:cs="楷体"/>
          <w:b/>
          <w:bCs/>
          <w:szCs w:val="32"/>
        </w:rPr>
        <w:t>（二）卫生健康支出（类）</w:t>
      </w:r>
    </w:p>
    <w:p w14:paraId="204F45F8">
      <w:pPr>
        <w:ind w:left="14" w:right="5" w:firstLine="641"/>
        <w:rPr>
          <w:szCs w:val="22"/>
        </w:rPr>
      </w:pPr>
      <w:r>
        <w:rPr>
          <w:rFonts w:hint="eastAsia"/>
        </w:rPr>
        <w:t>卫生健康支出类年初预算数为</w:t>
      </w:r>
      <w:r>
        <w:rPr>
          <w:rFonts w:eastAsia="Times New Roman"/>
        </w:rPr>
        <w:t>14.83</w:t>
      </w:r>
      <w:r>
        <w:rPr>
          <w:rFonts w:hint="eastAsia"/>
        </w:rPr>
        <w:t>万元，与上年相比增加</w:t>
      </w:r>
      <w:r>
        <w:rPr>
          <w:rFonts w:eastAsia="Times New Roman"/>
        </w:rPr>
        <w:t>1.97</w:t>
      </w:r>
      <w:r>
        <w:rPr>
          <w:rFonts w:hint="eastAsia"/>
        </w:rPr>
        <w:t>万元。其中：</w:t>
      </w:r>
    </w:p>
    <w:p w14:paraId="7AFA3179">
      <w:pPr>
        <w:pStyle w:val="10"/>
        <w:spacing w:after="0"/>
        <w:ind w:firstLine="640" w:firstLineChars="200"/>
        <w:rPr>
          <w:szCs w:val="32"/>
        </w:rPr>
      </w:pPr>
      <w:r>
        <w:rPr>
          <w:szCs w:val="32"/>
        </w:rPr>
        <w:t>1．</w:t>
      </w:r>
      <w:r>
        <w:rPr>
          <w:rFonts w:hint="eastAsia"/>
          <w:kern w:val="0"/>
        </w:rPr>
        <w:t>行政事业单位医疗（款）事业单位医疗（项）</w:t>
      </w:r>
      <w:r>
        <w:rPr>
          <w:szCs w:val="32"/>
        </w:rPr>
        <w:t>。年初预算14.83万元，与上年相比增加1</w:t>
      </w:r>
      <w:r>
        <w:rPr>
          <w:rFonts w:hint="eastAsia"/>
          <w:szCs w:val="32"/>
        </w:rPr>
        <w:t>.</w:t>
      </w:r>
      <w:r>
        <w:rPr>
          <w:szCs w:val="32"/>
        </w:rPr>
        <w:t>97万元，增长15.32%。变动原因：</w:t>
      </w:r>
      <w:r>
        <w:rPr>
          <w:rFonts w:hint="eastAsia"/>
          <w:szCs w:val="32"/>
          <w:lang w:eastAsia="zh-CN"/>
        </w:rPr>
        <w:t>人员增加，医疗保险基数也增加</w:t>
      </w:r>
      <w:r>
        <w:rPr>
          <w:szCs w:val="32"/>
        </w:rPr>
        <w:t>。</w:t>
      </w:r>
    </w:p>
    <w:p w14:paraId="3B87293E">
      <w:pPr>
        <w:tabs>
          <w:tab w:val="left" w:pos="4275"/>
        </w:tabs>
        <w:ind w:firstLine="643" w:firstLineChars="200"/>
        <w:rPr>
          <w:rFonts w:ascii="楷体" w:hAnsi="楷体" w:eastAsia="楷体" w:cs="楷体"/>
          <w:b/>
          <w:bCs/>
          <w:szCs w:val="32"/>
        </w:rPr>
      </w:pPr>
      <w:r>
        <w:rPr>
          <w:rFonts w:hint="eastAsia" w:ascii="楷体" w:hAnsi="楷体" w:eastAsia="楷体" w:cs="楷体"/>
          <w:b/>
          <w:bCs/>
          <w:szCs w:val="32"/>
        </w:rPr>
        <w:t>（三）住房保障支出（类）</w:t>
      </w:r>
    </w:p>
    <w:p w14:paraId="3CC4D693">
      <w:pPr>
        <w:ind w:left="14" w:right="5" w:firstLine="641"/>
        <w:rPr>
          <w:szCs w:val="22"/>
        </w:rPr>
      </w:pPr>
      <w:r>
        <w:rPr>
          <w:rFonts w:hint="eastAsia"/>
        </w:rPr>
        <w:t>住房保障支出类年初预算数为</w:t>
      </w:r>
      <w:r>
        <w:rPr>
          <w:rFonts w:eastAsia="Times New Roman"/>
        </w:rPr>
        <w:t>28.18</w:t>
      </w:r>
      <w:r>
        <w:rPr>
          <w:rFonts w:hint="eastAsia"/>
        </w:rPr>
        <w:t>万元，与上年相比增加</w:t>
      </w:r>
      <w:r>
        <w:rPr>
          <w:rFonts w:eastAsia="Times New Roman"/>
        </w:rPr>
        <w:t>3</w:t>
      </w:r>
      <w:r>
        <w:rPr>
          <w:rFonts w:hint="eastAsia" w:asciiTheme="minorEastAsia" w:hAnsiTheme="minorEastAsia" w:eastAsiaTheme="minorEastAsia"/>
        </w:rPr>
        <w:t>.</w:t>
      </w:r>
      <w:r>
        <w:rPr>
          <w:rFonts w:asciiTheme="minorEastAsia" w:hAnsiTheme="minorEastAsia" w:eastAsiaTheme="minorEastAsia"/>
        </w:rPr>
        <w:t>71</w:t>
      </w:r>
      <w:r>
        <w:rPr>
          <w:rFonts w:hint="eastAsia"/>
        </w:rPr>
        <w:t>万元。其中：</w:t>
      </w:r>
    </w:p>
    <w:p w14:paraId="0AC4AFF8">
      <w:pPr>
        <w:ind w:firstLine="640" w:firstLineChars="200"/>
        <w:rPr>
          <w:rFonts w:hint="eastAsia"/>
          <w:szCs w:val="32"/>
        </w:rPr>
      </w:pPr>
      <w:r>
        <w:rPr>
          <w:szCs w:val="32"/>
        </w:rPr>
        <w:t>1．住房改革支出</w:t>
      </w:r>
      <w:r>
        <w:rPr>
          <w:rFonts w:hint="eastAsia"/>
          <w:kern w:val="0"/>
        </w:rPr>
        <w:t>（款）住房公积金（项）</w:t>
      </w:r>
      <w:r>
        <w:rPr>
          <w:szCs w:val="32"/>
        </w:rPr>
        <w:t>。年初预算28.18万元，与上年相比增加3.71万元，增长15.16%。变动原因：</w:t>
      </w:r>
      <w:r>
        <w:rPr>
          <w:rFonts w:hint="eastAsia"/>
          <w:szCs w:val="32"/>
          <w:lang w:eastAsia="zh-CN"/>
        </w:rPr>
        <w:t>公积金基数调整</w:t>
      </w:r>
      <w:r>
        <w:rPr>
          <w:szCs w:val="32"/>
        </w:rPr>
        <w:t>。</w:t>
      </w:r>
    </w:p>
    <w:p w14:paraId="160A466A">
      <w:pPr>
        <w:pStyle w:val="10"/>
        <w:tabs>
          <w:tab w:val="left" w:pos="4275"/>
        </w:tabs>
        <w:spacing w:after="0"/>
        <w:ind w:firstLine="643" w:firstLineChars="200"/>
        <w:rPr>
          <w:rFonts w:ascii="楷体" w:hAnsi="楷体" w:eastAsia="楷体" w:cs="楷体"/>
          <w:b/>
          <w:bCs/>
          <w:szCs w:val="32"/>
        </w:rPr>
      </w:pPr>
      <w:r>
        <w:rPr>
          <w:rFonts w:hint="eastAsia" w:ascii="楷体" w:hAnsi="楷体" w:eastAsia="楷体" w:cs="楷体"/>
          <w:b/>
          <w:bCs/>
          <w:szCs w:val="32"/>
        </w:rPr>
        <w:t>（四）灾害防治及应急管理支出（类）</w:t>
      </w:r>
    </w:p>
    <w:p w14:paraId="25CA1183">
      <w:pPr>
        <w:ind w:left="14" w:right="5" w:firstLine="641"/>
        <w:rPr>
          <w:szCs w:val="22"/>
        </w:rPr>
      </w:pPr>
      <w:r>
        <w:rPr>
          <w:rFonts w:hint="eastAsia"/>
        </w:rPr>
        <w:t>灾害防治及应急管理支出类年初预算数为</w:t>
      </w:r>
      <w:r>
        <w:rPr>
          <w:rFonts w:eastAsia="Times New Roman"/>
        </w:rPr>
        <w:t>318.72</w:t>
      </w:r>
      <w:r>
        <w:rPr>
          <w:rFonts w:hint="eastAsia"/>
        </w:rPr>
        <w:t>万元，与上年相比增加</w:t>
      </w:r>
      <w:r>
        <w:rPr>
          <w:rFonts w:eastAsia="Times New Roman"/>
        </w:rPr>
        <w:t>39.04</w:t>
      </w:r>
      <w:r>
        <w:rPr>
          <w:rFonts w:hint="eastAsia"/>
        </w:rPr>
        <w:t>万元。其中：</w:t>
      </w:r>
    </w:p>
    <w:p w14:paraId="13F4762A">
      <w:pPr>
        <w:pStyle w:val="10"/>
        <w:spacing w:after="0"/>
        <w:ind w:firstLine="640" w:firstLineChars="200"/>
        <w:rPr>
          <w:rFonts w:hint="eastAsia"/>
          <w:szCs w:val="32"/>
        </w:rPr>
      </w:pPr>
      <w:r>
        <w:rPr>
          <w:szCs w:val="32"/>
        </w:rPr>
        <w:t>1．</w:t>
      </w:r>
      <w:r>
        <w:rPr>
          <w:rFonts w:hint="eastAsia"/>
          <w:kern w:val="0"/>
        </w:rPr>
        <w:t>地震事务（款）地震监测（项）</w:t>
      </w:r>
      <w:r>
        <w:rPr>
          <w:szCs w:val="32"/>
        </w:rPr>
        <w:t>。年初预算318.72万元，与上年相比增加39.04万元，增长13.96%。变动原因：</w:t>
      </w:r>
      <w:r>
        <w:rPr>
          <w:rFonts w:hint="eastAsia"/>
          <w:szCs w:val="32"/>
          <w:lang w:eastAsia="zh-CN"/>
        </w:rPr>
        <w:t>人员增加，工资增加</w:t>
      </w:r>
      <w:r>
        <w:rPr>
          <w:szCs w:val="32"/>
        </w:rPr>
        <w:t>。</w:t>
      </w:r>
    </w:p>
    <w:p w14:paraId="70AB6E14">
      <w:pPr>
        <w:ind w:firstLine="640" w:firstLineChars="200"/>
        <w:outlineLvl w:val="0"/>
        <w:rPr>
          <w:rFonts w:eastAsia="黑体" w:cs="黑体"/>
          <w:szCs w:val="36"/>
        </w:rPr>
      </w:pPr>
      <w:r>
        <w:rPr>
          <w:rFonts w:hint="eastAsia" w:eastAsia="黑体" w:cs="黑体"/>
          <w:szCs w:val="36"/>
        </w:rPr>
        <w:t>六、一般公共预算基本支出预算情况说明</w:t>
      </w:r>
    </w:p>
    <w:p w14:paraId="7DECCCC4">
      <w:pPr>
        <w:pStyle w:val="10"/>
        <w:tabs>
          <w:tab w:val="left" w:pos="2671"/>
          <w:tab w:val="left" w:pos="5000"/>
          <w:tab w:val="left" w:pos="6190"/>
        </w:tabs>
        <w:spacing w:after="0"/>
        <w:ind w:firstLine="640" w:firstLineChars="200"/>
        <w:rPr>
          <w:szCs w:val="32"/>
        </w:rPr>
      </w:pPr>
      <w:r>
        <w:rPr>
          <w:rFonts w:hint="eastAsia"/>
          <w:szCs w:val="32"/>
        </w:rPr>
        <w:t>包头市地震台2</w:t>
      </w:r>
      <w:r>
        <w:rPr>
          <w:szCs w:val="32"/>
        </w:rPr>
        <w:t>026年度一般公共预算财政拨款基本支出预算414.58万元，其中：</w:t>
      </w:r>
    </w:p>
    <w:p w14:paraId="750E13C9">
      <w:pPr>
        <w:widowControl/>
        <w:numPr>
          <w:ilvl w:val="0"/>
          <w:numId w:val="3"/>
        </w:numPr>
        <w:spacing w:after="10" w:line="405" w:lineRule="auto"/>
        <w:ind w:right="5" w:firstLine="641"/>
        <w:jc w:val="left"/>
        <w:rPr>
          <w:szCs w:val="22"/>
          <w:highlight w:val="none"/>
        </w:rPr>
      </w:pPr>
      <w:r>
        <w:rPr>
          <w:b/>
          <w:bCs/>
          <w:szCs w:val="32"/>
        </w:rPr>
        <w:t>人员经费388.67万元</w:t>
      </w:r>
      <w:r>
        <w:rPr>
          <w:szCs w:val="32"/>
        </w:rPr>
        <w:t>。</w:t>
      </w:r>
      <w:r>
        <w:rPr>
          <w:szCs w:val="32"/>
          <w:highlight w:val="none"/>
        </w:rPr>
        <w:t>主要包括：</w:t>
      </w:r>
      <w:r>
        <w:rPr>
          <w:rFonts w:hint="eastAsia"/>
          <w:highlight w:val="none"/>
        </w:rPr>
        <w:t>基本工资</w:t>
      </w:r>
      <w:r>
        <w:rPr>
          <w:rFonts w:eastAsia="Times New Roman"/>
          <w:highlight w:val="none"/>
        </w:rPr>
        <w:t>123.74</w:t>
      </w:r>
      <w:r>
        <w:rPr>
          <w:rFonts w:hint="eastAsia"/>
          <w:highlight w:val="none"/>
        </w:rPr>
        <w:t>万元、津贴补贴</w:t>
      </w:r>
      <w:r>
        <w:rPr>
          <w:rFonts w:eastAsia="Times New Roman"/>
          <w:highlight w:val="none"/>
        </w:rPr>
        <w:t>23.21</w:t>
      </w:r>
      <w:r>
        <w:rPr>
          <w:rFonts w:hint="eastAsia"/>
          <w:highlight w:val="none"/>
        </w:rPr>
        <w:t>万元、奖金</w:t>
      </w:r>
      <w:r>
        <w:rPr>
          <w:rFonts w:eastAsia="Times New Roman"/>
          <w:highlight w:val="none"/>
        </w:rPr>
        <w:t>53.96</w:t>
      </w:r>
      <w:r>
        <w:rPr>
          <w:rFonts w:hint="eastAsia"/>
          <w:highlight w:val="none"/>
        </w:rPr>
        <w:t>万元、绩效工资</w:t>
      </w:r>
      <w:r>
        <w:rPr>
          <w:rFonts w:eastAsia="Times New Roman"/>
          <w:highlight w:val="none"/>
        </w:rPr>
        <w:t>87.49</w:t>
      </w:r>
      <w:r>
        <w:rPr>
          <w:rFonts w:hint="eastAsia"/>
          <w:highlight w:val="none"/>
        </w:rPr>
        <w:t>万元、机关事业单位基本养老保险缴费</w:t>
      </w:r>
      <w:r>
        <w:rPr>
          <w:rFonts w:eastAsia="Times New Roman"/>
          <w:highlight w:val="none"/>
        </w:rPr>
        <w:t>36.39</w:t>
      </w:r>
      <w:r>
        <w:rPr>
          <w:rFonts w:hint="eastAsia"/>
          <w:highlight w:val="none"/>
        </w:rPr>
        <w:t>万元、职工基本医疗保险缴</w:t>
      </w:r>
      <w:r>
        <w:rPr>
          <w:rFonts w:eastAsia="Times New Roman"/>
          <w:highlight w:val="none"/>
        </w:rPr>
        <w:t>14.83</w:t>
      </w:r>
      <w:r>
        <w:rPr>
          <w:rFonts w:hint="eastAsia"/>
          <w:highlight w:val="none"/>
        </w:rPr>
        <w:t>万元、其他社会保障缴费</w:t>
      </w:r>
      <w:r>
        <w:rPr>
          <w:rFonts w:eastAsia="Times New Roman"/>
          <w:highlight w:val="none"/>
        </w:rPr>
        <w:t>1.59</w:t>
      </w:r>
      <w:r>
        <w:rPr>
          <w:rFonts w:hint="eastAsia"/>
          <w:highlight w:val="none"/>
        </w:rPr>
        <w:t>万元、住房公积金</w:t>
      </w:r>
      <w:r>
        <w:rPr>
          <w:rFonts w:eastAsia="Times New Roman"/>
          <w:highlight w:val="none"/>
        </w:rPr>
        <w:t>28.18</w:t>
      </w:r>
      <w:r>
        <w:rPr>
          <w:rFonts w:hint="eastAsia"/>
          <w:highlight w:val="none"/>
        </w:rPr>
        <w:t>万元、退休费</w:t>
      </w:r>
      <w:r>
        <w:rPr>
          <w:rFonts w:eastAsia="Times New Roman"/>
          <w:highlight w:val="none"/>
        </w:rPr>
        <w:t>16.45</w:t>
      </w:r>
      <w:r>
        <w:rPr>
          <w:rFonts w:hint="eastAsia"/>
          <w:highlight w:val="none"/>
        </w:rPr>
        <w:t>万元、生活补助</w:t>
      </w:r>
      <w:r>
        <w:rPr>
          <w:rFonts w:eastAsia="Times New Roman"/>
          <w:highlight w:val="none"/>
        </w:rPr>
        <w:t>2.83</w:t>
      </w:r>
      <w:r>
        <w:rPr>
          <w:rFonts w:hint="eastAsia"/>
          <w:highlight w:val="none"/>
        </w:rPr>
        <w:t>万元。</w:t>
      </w:r>
    </w:p>
    <w:p w14:paraId="77D01AFE">
      <w:pPr>
        <w:widowControl/>
        <w:numPr>
          <w:ilvl w:val="0"/>
          <w:numId w:val="4"/>
        </w:numPr>
        <w:spacing w:after="10" w:line="405" w:lineRule="auto"/>
        <w:ind w:left="14" w:leftChars="0" w:right="5" w:rightChars="0" w:firstLine="643" w:firstLineChars="200"/>
        <w:jc w:val="left"/>
        <w:rPr>
          <w:rFonts w:hint="eastAsia"/>
        </w:rPr>
      </w:pPr>
      <w:r>
        <w:rPr>
          <w:b/>
          <w:bCs/>
          <w:szCs w:val="32"/>
        </w:rPr>
        <w:t>公用经费25.91万元</w:t>
      </w:r>
      <w:r>
        <w:rPr>
          <w:szCs w:val="32"/>
        </w:rPr>
        <w:t>。主要包括：</w:t>
      </w:r>
      <w:r>
        <w:rPr>
          <w:rFonts w:hint="eastAsia"/>
        </w:rPr>
        <w:t>办公费</w:t>
      </w:r>
      <w:r>
        <w:rPr>
          <w:rFonts w:eastAsia="Times New Roman"/>
        </w:rPr>
        <w:t>4</w:t>
      </w:r>
      <w:r>
        <w:rPr>
          <w:rFonts w:asciiTheme="minorEastAsia" w:hAnsiTheme="minorEastAsia" w:eastAsiaTheme="minorEastAsia"/>
        </w:rPr>
        <w:t>.45</w:t>
      </w:r>
      <w:r>
        <w:rPr>
          <w:rFonts w:hint="eastAsia"/>
        </w:rPr>
        <w:t>万元、印刷费</w:t>
      </w:r>
      <w:r>
        <w:rPr>
          <w:rFonts w:eastAsia="Times New Roman"/>
        </w:rPr>
        <w:t>0.06</w:t>
      </w:r>
      <w:r>
        <w:rPr>
          <w:rFonts w:hint="eastAsia"/>
        </w:rPr>
        <w:t>万元、取暖费</w:t>
      </w:r>
      <w:r>
        <w:rPr>
          <w:rFonts w:eastAsia="Times New Roman"/>
        </w:rPr>
        <w:t>0.98</w:t>
      </w:r>
      <w:r>
        <w:rPr>
          <w:rFonts w:hint="eastAsia"/>
        </w:rPr>
        <w:t>万元、物业管理费</w:t>
      </w:r>
      <w:r>
        <w:rPr>
          <w:rFonts w:eastAsia="Times New Roman"/>
        </w:rPr>
        <w:t>1.04</w:t>
      </w:r>
      <w:r>
        <w:rPr>
          <w:rFonts w:hint="eastAsia"/>
        </w:rPr>
        <w:t>万元、差旅费</w:t>
      </w:r>
      <w:r>
        <w:rPr>
          <w:rFonts w:eastAsia="Times New Roman"/>
        </w:rPr>
        <w:t>1.50</w:t>
      </w:r>
      <w:r>
        <w:rPr>
          <w:rFonts w:hint="eastAsia"/>
        </w:rPr>
        <w:t>万元、培训费</w:t>
      </w:r>
      <w:r>
        <w:rPr>
          <w:rFonts w:eastAsia="Times New Roman"/>
        </w:rPr>
        <w:t>0.30</w:t>
      </w:r>
      <w:r>
        <w:rPr>
          <w:rFonts w:hint="eastAsia"/>
        </w:rPr>
        <w:t>万元、委托业务费</w:t>
      </w:r>
      <w:r>
        <w:rPr>
          <w:rFonts w:eastAsia="Times New Roman"/>
        </w:rPr>
        <w:t>0.88</w:t>
      </w:r>
      <w:r>
        <w:rPr>
          <w:rFonts w:hint="eastAsia"/>
        </w:rPr>
        <w:t>万元、工会经费</w:t>
      </w:r>
      <w:r>
        <w:rPr>
          <w:rFonts w:eastAsia="Times New Roman"/>
        </w:rPr>
        <w:t>4.55</w:t>
      </w:r>
      <w:r>
        <w:rPr>
          <w:rFonts w:hint="eastAsia"/>
        </w:rPr>
        <w:t>万元、公务用车运行维护费</w:t>
      </w:r>
      <w:r>
        <w:rPr>
          <w:rFonts w:eastAsia="Times New Roman"/>
        </w:rPr>
        <w:t>2.50</w:t>
      </w:r>
      <w:r>
        <w:rPr>
          <w:rFonts w:hint="eastAsia"/>
        </w:rPr>
        <w:t>万元、其他商品和服务支出</w:t>
      </w:r>
      <w:r>
        <w:rPr>
          <w:rFonts w:eastAsia="Times New Roman"/>
        </w:rPr>
        <w:t>9.16</w:t>
      </w:r>
      <w:r>
        <w:rPr>
          <w:rFonts w:hint="eastAsia"/>
        </w:rPr>
        <w:t>万元、其他对个人和家庭补助0</w:t>
      </w:r>
      <w:r>
        <w:t>.48</w:t>
      </w:r>
      <w:r>
        <w:rPr>
          <w:rFonts w:hint="eastAsia"/>
        </w:rPr>
        <w:t>万元。</w:t>
      </w:r>
    </w:p>
    <w:p w14:paraId="5BFC4B79">
      <w:pPr>
        <w:widowControl/>
        <w:numPr>
          <w:ilvl w:val="0"/>
          <w:numId w:val="4"/>
        </w:numPr>
        <w:spacing w:after="10" w:line="405" w:lineRule="auto"/>
        <w:ind w:left="14" w:leftChars="0" w:right="5" w:rightChars="0" w:firstLine="640" w:firstLineChars="200"/>
        <w:jc w:val="left"/>
        <w:rPr>
          <w:rFonts w:eastAsia="黑体" w:cs="黑体"/>
          <w:szCs w:val="36"/>
        </w:rPr>
      </w:pPr>
      <w:r>
        <w:rPr>
          <w:rFonts w:hint="eastAsia" w:eastAsia="黑体" w:cs="黑体"/>
          <w:szCs w:val="36"/>
        </w:rPr>
        <w:t>七、一般公共预算“三公”经费支出预算情况说明</w:t>
      </w:r>
    </w:p>
    <w:p w14:paraId="428B4915">
      <w:pPr>
        <w:pStyle w:val="10"/>
        <w:tabs>
          <w:tab w:val="left" w:pos="2671"/>
          <w:tab w:val="left" w:pos="5000"/>
          <w:tab w:val="left" w:pos="6190"/>
        </w:tabs>
        <w:spacing w:after="0"/>
        <w:ind w:firstLine="640" w:firstLineChars="200"/>
        <w:rPr>
          <w:szCs w:val="32"/>
        </w:rPr>
      </w:pPr>
      <w:r>
        <w:rPr>
          <w:rFonts w:hint="eastAsia"/>
          <w:szCs w:val="32"/>
        </w:rPr>
        <w:t>包头市地震台2</w:t>
      </w:r>
      <w:r>
        <w:rPr>
          <w:szCs w:val="32"/>
        </w:rPr>
        <w:t>026年度一般公共预算拨款安排的“三公”经费预算支出2.50万元，其中因公出国（境）费支出</w:t>
      </w:r>
      <w:r>
        <w:rPr>
          <w:szCs w:val="32"/>
        </w:rPr>
        <w:tab/>
      </w:r>
      <w:r>
        <w:rPr>
          <w:szCs w:val="32"/>
        </w:rPr>
        <w:t>0万元，占“三公”经费的0 %；公务用车购置及运行维护费支出2.50万元，占“三公”经费的100 %；公务接待费支出0万元，占“三公”经费的0%。具体情况如下：</w:t>
      </w:r>
    </w:p>
    <w:p w14:paraId="02C73092">
      <w:pPr>
        <w:ind w:left="29" w:right="96" w:firstLine="640"/>
        <w:rPr>
          <w:szCs w:val="32"/>
        </w:rPr>
      </w:pPr>
      <w:r>
        <w:rPr>
          <w:szCs w:val="32"/>
        </w:rPr>
        <w:t>一般公共预算拨款安排的“三公”经费预算支出2.50</w:t>
      </w:r>
      <w:r>
        <w:rPr>
          <w:spacing w:val="-55"/>
          <w:szCs w:val="32"/>
        </w:rPr>
        <w:t xml:space="preserve"> </w:t>
      </w:r>
      <w:r>
        <w:rPr>
          <w:rFonts w:hint="eastAsia"/>
          <w:spacing w:val="-55"/>
          <w:szCs w:val="32"/>
          <w:lang w:val="en-US" w:eastAsia="zh-CN"/>
        </w:rPr>
        <w:t>万元</w:t>
      </w:r>
      <w:r>
        <w:rPr>
          <w:spacing w:val="-4"/>
          <w:szCs w:val="32"/>
        </w:rPr>
        <w:t>，比上年预</w:t>
      </w:r>
      <w:r>
        <w:rPr>
          <w:spacing w:val="-6"/>
          <w:szCs w:val="32"/>
        </w:rPr>
        <w:t>算增加</w:t>
      </w:r>
      <w:r>
        <w:rPr>
          <w:rFonts w:hint="eastAsia"/>
          <w:spacing w:val="-6"/>
          <w:szCs w:val="32"/>
        </w:rPr>
        <w:t>0</w:t>
      </w:r>
      <w:r>
        <w:rPr>
          <w:spacing w:val="-6"/>
          <w:szCs w:val="32"/>
        </w:rPr>
        <w:t>万元，</w:t>
      </w:r>
      <w:r>
        <w:rPr>
          <w:rFonts w:hint="eastAsia"/>
          <w:spacing w:val="-6"/>
          <w:szCs w:val="32"/>
          <w:lang w:eastAsia="zh-CN"/>
        </w:rPr>
        <w:t>增加</w:t>
      </w:r>
      <w:r>
        <w:rPr>
          <w:szCs w:val="32"/>
        </w:rPr>
        <w:t>0</w:t>
      </w:r>
      <w:r>
        <w:rPr>
          <w:rFonts w:hint="eastAsia"/>
          <w:szCs w:val="32"/>
          <w:lang w:val="en-US" w:eastAsia="zh-CN"/>
        </w:rPr>
        <w:t xml:space="preserve"> </w:t>
      </w:r>
      <w:r>
        <w:rPr>
          <w:szCs w:val="32"/>
        </w:rPr>
        <w:t>%</w:t>
      </w:r>
      <w:r>
        <w:rPr>
          <w:spacing w:val="-6"/>
          <w:szCs w:val="32"/>
        </w:rPr>
        <w:t>；</w:t>
      </w:r>
      <w:r>
        <w:rPr>
          <w:spacing w:val="70"/>
          <w:szCs w:val="32"/>
        </w:rPr>
        <w:t xml:space="preserve"> </w:t>
      </w:r>
      <w:r>
        <w:rPr>
          <w:spacing w:val="-4"/>
          <w:szCs w:val="32"/>
        </w:rPr>
        <w:t>其中：</w:t>
      </w:r>
    </w:p>
    <w:p w14:paraId="33F696F1">
      <w:pPr>
        <w:pStyle w:val="10"/>
        <w:spacing w:after="0"/>
        <w:ind w:left="26" w:leftChars="8" w:firstLine="640" w:firstLineChars="200"/>
        <w:rPr>
          <w:szCs w:val="32"/>
        </w:rPr>
      </w:pPr>
      <w:r>
        <w:rPr>
          <w:szCs w:val="32"/>
        </w:rPr>
        <w:t>1．因公出国（境）费预算支出0万元，比上年预算增加0万元，主要原因</w:t>
      </w:r>
      <w:r>
        <w:rPr>
          <w:rFonts w:hint="eastAsia"/>
          <w:kern w:val="0"/>
        </w:rPr>
        <w:t>无因公出国（境）</w:t>
      </w:r>
      <w:r>
        <w:rPr>
          <w:szCs w:val="32"/>
        </w:rPr>
        <w:t>。</w:t>
      </w:r>
    </w:p>
    <w:p w14:paraId="410FFBF6">
      <w:pPr>
        <w:pStyle w:val="10"/>
        <w:tabs>
          <w:tab w:val="left" w:pos="2671"/>
          <w:tab w:val="left" w:pos="5000"/>
          <w:tab w:val="left" w:pos="6190"/>
        </w:tabs>
        <w:spacing w:after="0"/>
        <w:ind w:firstLine="640" w:firstLineChars="200"/>
        <w:rPr>
          <w:szCs w:val="32"/>
        </w:rPr>
      </w:pPr>
      <w:r>
        <w:rPr>
          <w:szCs w:val="32"/>
        </w:rPr>
        <w:t>2．公务用车购置及运行维护费预算支出2.50万元。其中：</w:t>
      </w:r>
      <w:r>
        <w:rPr>
          <w:szCs w:val="32"/>
        </w:rPr>
        <w:tab/>
      </w:r>
    </w:p>
    <w:p w14:paraId="4B49BF36">
      <w:pPr>
        <w:pStyle w:val="10"/>
        <w:spacing w:after="0"/>
        <w:ind w:firstLine="640" w:firstLineChars="200"/>
        <w:rPr>
          <w:szCs w:val="32"/>
        </w:rPr>
      </w:pPr>
      <w:r>
        <w:rPr>
          <w:szCs w:val="32"/>
        </w:rPr>
        <w:t>（1）公务用车购置预算支出0万元，比上年预算增加0万元，主要原因</w:t>
      </w:r>
      <w:r>
        <w:rPr>
          <w:rFonts w:hint="eastAsia"/>
          <w:kern w:val="0"/>
        </w:rPr>
        <w:t>无公务用车购置</w:t>
      </w:r>
      <w:r>
        <w:rPr>
          <w:szCs w:val="32"/>
        </w:rPr>
        <w:t>。</w:t>
      </w:r>
    </w:p>
    <w:p w14:paraId="2161A18F">
      <w:pPr>
        <w:pStyle w:val="10"/>
        <w:spacing w:after="0"/>
        <w:ind w:firstLine="640" w:firstLineChars="200"/>
        <w:rPr>
          <w:szCs w:val="32"/>
        </w:rPr>
      </w:pPr>
      <w:r>
        <w:rPr>
          <w:szCs w:val="32"/>
        </w:rPr>
        <w:t>（2）公务用车运行维护费预算支出2.50万元，比上年预算增加</w:t>
      </w:r>
      <w:r>
        <w:rPr>
          <w:rFonts w:hint="eastAsia"/>
          <w:szCs w:val="32"/>
        </w:rPr>
        <w:t>0</w:t>
      </w:r>
      <w:r>
        <w:rPr>
          <w:szCs w:val="32"/>
        </w:rPr>
        <w:t>万元，主要原因</w:t>
      </w:r>
      <w:r>
        <w:rPr>
          <w:rFonts w:hint="eastAsia"/>
          <w:kern w:val="0"/>
        </w:rPr>
        <w:t>公务用车数量无变化</w:t>
      </w:r>
      <w:r>
        <w:rPr>
          <w:szCs w:val="32"/>
        </w:rPr>
        <w:t>。</w:t>
      </w:r>
    </w:p>
    <w:p w14:paraId="42620A6B">
      <w:pPr>
        <w:pStyle w:val="10"/>
        <w:spacing w:after="0"/>
        <w:ind w:firstLine="640" w:firstLineChars="200"/>
        <w:rPr>
          <w:szCs w:val="32"/>
        </w:rPr>
      </w:pPr>
      <w:r>
        <w:rPr>
          <w:szCs w:val="32"/>
        </w:rPr>
        <w:t>3．公务接待费预算支出0万元，比上年预算增加</w:t>
      </w:r>
      <w:r>
        <w:rPr>
          <w:rFonts w:hint="eastAsia"/>
          <w:szCs w:val="32"/>
        </w:rPr>
        <w:t>0</w:t>
      </w:r>
      <w:r>
        <w:rPr>
          <w:szCs w:val="32"/>
        </w:rPr>
        <w:t>万元，主要原因</w:t>
      </w:r>
      <w:r>
        <w:rPr>
          <w:rFonts w:hint="eastAsia"/>
          <w:kern w:val="0"/>
        </w:rPr>
        <w:t>无公务接待</w:t>
      </w:r>
      <w:r>
        <w:rPr>
          <w:szCs w:val="32"/>
        </w:rPr>
        <w:t>。</w:t>
      </w:r>
    </w:p>
    <w:p w14:paraId="772149AC">
      <w:pPr>
        <w:ind w:firstLine="640" w:firstLineChars="200"/>
        <w:outlineLvl w:val="0"/>
        <w:rPr>
          <w:rFonts w:eastAsia="黑体" w:cs="黑体"/>
          <w:szCs w:val="36"/>
        </w:rPr>
      </w:pPr>
      <w:r>
        <w:rPr>
          <w:rFonts w:hint="eastAsia" w:eastAsia="黑体" w:cs="黑体"/>
          <w:szCs w:val="36"/>
        </w:rPr>
        <w:t>八、政府性基金预算支出预算情况说明</w:t>
      </w:r>
    </w:p>
    <w:p w14:paraId="0017A487">
      <w:pPr>
        <w:pStyle w:val="10"/>
        <w:spacing w:after="0"/>
        <w:ind w:left="26" w:leftChars="8" w:firstLine="640" w:firstLineChars="200"/>
        <w:rPr>
          <w:szCs w:val="32"/>
        </w:rPr>
      </w:pPr>
      <w:r>
        <w:rPr>
          <w:rFonts w:hint="eastAsia"/>
          <w:szCs w:val="32"/>
        </w:rPr>
        <w:t>包头市地震台2</w:t>
      </w:r>
      <w:r>
        <w:rPr>
          <w:szCs w:val="32"/>
        </w:rPr>
        <w:t>026年政府性基金支出预算支出0万元。与上年相比增加</w:t>
      </w:r>
      <w:r>
        <w:rPr>
          <w:rFonts w:hint="eastAsia"/>
          <w:szCs w:val="32"/>
        </w:rPr>
        <w:t>0</w:t>
      </w:r>
      <w:r>
        <w:rPr>
          <w:szCs w:val="32"/>
        </w:rPr>
        <w:t>万元，增长</w:t>
      </w:r>
      <w:r>
        <w:rPr>
          <w:rFonts w:hint="eastAsia"/>
          <w:szCs w:val="32"/>
        </w:rPr>
        <w:t>0</w:t>
      </w:r>
      <w:r>
        <w:rPr>
          <w:szCs w:val="32"/>
        </w:rPr>
        <w:t>%。主要原因是</w:t>
      </w:r>
      <w:r>
        <w:rPr>
          <w:rFonts w:hint="eastAsia"/>
          <w:kern w:val="0"/>
        </w:rPr>
        <w:t>本单位无政府性基金支出</w:t>
      </w:r>
      <w:r>
        <w:rPr>
          <w:szCs w:val="32"/>
        </w:rPr>
        <w:t>。</w:t>
      </w:r>
    </w:p>
    <w:p w14:paraId="1FBAC190">
      <w:pPr>
        <w:ind w:firstLine="640" w:firstLineChars="200"/>
        <w:outlineLvl w:val="0"/>
        <w:rPr>
          <w:rFonts w:eastAsia="黑体" w:cs="黑体"/>
          <w:szCs w:val="36"/>
        </w:rPr>
      </w:pPr>
      <w:r>
        <w:rPr>
          <w:rFonts w:hint="eastAsia" w:eastAsia="黑体" w:cs="黑体"/>
          <w:szCs w:val="36"/>
        </w:rPr>
        <w:t>九、国有资本经营预算支出预算情况说明</w:t>
      </w:r>
    </w:p>
    <w:p w14:paraId="06C62A24">
      <w:pPr>
        <w:ind w:firstLine="640" w:firstLineChars="200"/>
        <w:rPr>
          <w:rFonts w:cstheme="minorBidi"/>
          <w:szCs w:val="32"/>
        </w:rPr>
      </w:pPr>
      <w:r>
        <w:rPr>
          <w:rFonts w:hint="eastAsia" w:cstheme="minorBidi"/>
          <w:szCs w:val="32"/>
        </w:rPr>
        <w:t>包头市地震台2</w:t>
      </w:r>
      <w:r>
        <w:rPr>
          <w:rFonts w:cstheme="minorBidi"/>
          <w:szCs w:val="32"/>
        </w:rPr>
        <w:t>026</w:t>
      </w:r>
      <w:r>
        <w:rPr>
          <w:rFonts w:hint="eastAsia" w:cstheme="minorBidi"/>
          <w:szCs w:val="32"/>
        </w:rPr>
        <w:t>年国有资本经营预算支出</w:t>
      </w:r>
      <w:r>
        <w:rPr>
          <w:rFonts w:cstheme="minorBidi"/>
          <w:szCs w:val="32"/>
        </w:rPr>
        <w:t>0</w:t>
      </w:r>
      <w:r>
        <w:rPr>
          <w:rFonts w:hint="eastAsia" w:cstheme="minorBidi"/>
          <w:szCs w:val="32"/>
        </w:rPr>
        <w:t>万元。与上年相比增加0万元，增长0%。主要原因是</w:t>
      </w:r>
      <w:r>
        <w:rPr>
          <w:rFonts w:hint="eastAsia"/>
          <w:kern w:val="0"/>
        </w:rPr>
        <w:t>本单位无国有资本经营预算支出</w:t>
      </w:r>
      <w:r>
        <w:rPr>
          <w:rFonts w:hint="eastAsia" w:cstheme="minorBidi"/>
          <w:szCs w:val="32"/>
        </w:rPr>
        <w:t>。</w:t>
      </w:r>
    </w:p>
    <w:p w14:paraId="569BBCD7">
      <w:pPr>
        <w:ind w:firstLine="640" w:firstLineChars="200"/>
        <w:rPr>
          <w:i/>
          <w:iCs/>
          <w:highlight w:val="yellow"/>
        </w:rPr>
      </w:pPr>
      <w:r>
        <w:rPr>
          <w:rFonts w:hint="eastAsia" w:eastAsia="黑体" w:cs="黑体"/>
          <w:szCs w:val="36"/>
        </w:rPr>
        <w:t>十、项目支出预算情况说明</w:t>
      </w:r>
    </w:p>
    <w:p w14:paraId="23077192">
      <w:pPr>
        <w:ind w:firstLine="640" w:firstLineChars="200"/>
        <w:rPr>
          <w:szCs w:val="32"/>
        </w:rPr>
      </w:pPr>
      <w:r>
        <w:rPr>
          <w:szCs w:val="32"/>
        </w:rPr>
        <w:t>2026年</w:t>
      </w:r>
      <w:r>
        <w:rPr>
          <w:rFonts w:hint="eastAsia"/>
          <w:szCs w:val="32"/>
        </w:rPr>
        <w:t>包头市地震台</w:t>
      </w:r>
      <w:r>
        <w:rPr>
          <w:szCs w:val="32"/>
        </w:rPr>
        <w:t>预算安排项目0个，项目预算总金额0万元。其中，财政本年拨款金额0万元，财政拨款结转结余0万元，财政专户管理资金0万元，单位资金0万元。</w:t>
      </w:r>
    </w:p>
    <w:p w14:paraId="247279E9">
      <w:pPr>
        <w:pBdr>
          <w:bottom w:val="single" w:color="FFFFFF" w:sz="4" w:space="30"/>
        </w:pBdr>
        <w:snapToGrid w:val="0"/>
        <w:ind w:firstLine="640" w:firstLineChars="200"/>
        <w:rPr>
          <w:rFonts w:eastAsia="黑体" w:cs="黑体"/>
          <w:szCs w:val="36"/>
        </w:rPr>
      </w:pPr>
      <w:r>
        <w:rPr>
          <w:rFonts w:hint="eastAsia" w:ascii="黑体" w:hAnsi="黑体" w:eastAsia="黑体" w:cs="黑体"/>
          <w:bCs/>
          <w:color w:val="000000" w:themeColor="text1"/>
          <w:szCs w:val="32"/>
          <w14:textFill>
            <w14:solidFill>
              <w14:schemeClr w14:val="tx1"/>
            </w14:solidFill>
          </w14:textFill>
        </w:rPr>
        <w:t>十一、</w:t>
      </w:r>
      <w:r>
        <w:rPr>
          <w:rFonts w:hint="eastAsia" w:eastAsia="黑体" w:cs="黑体"/>
          <w:szCs w:val="36"/>
        </w:rPr>
        <w:t>一般公共预算机关运行经费支出预算情况说明</w:t>
      </w:r>
    </w:p>
    <w:p w14:paraId="478147DA">
      <w:pPr>
        <w:pBdr>
          <w:bottom w:val="single" w:color="FFFFFF" w:sz="4" w:space="30"/>
        </w:pBdr>
        <w:snapToGrid w:val="0"/>
        <w:ind w:firstLine="640" w:firstLineChars="200"/>
        <w:rPr>
          <w:szCs w:val="32"/>
        </w:rPr>
      </w:pPr>
      <w:r>
        <w:rPr>
          <w:szCs w:val="32"/>
        </w:rPr>
        <w:t>2026</w:t>
      </w:r>
      <w:r>
        <w:rPr>
          <w:rFonts w:hint="eastAsia"/>
          <w:szCs w:val="32"/>
        </w:rPr>
        <w:t>年包头市地震台</w:t>
      </w:r>
      <w:r>
        <w:rPr>
          <w:szCs w:val="32"/>
        </w:rPr>
        <w:t>一般公共预算机关运行经费预算支出25.</w:t>
      </w:r>
      <w:r>
        <w:rPr>
          <w:rFonts w:hint="eastAsia"/>
          <w:szCs w:val="32"/>
          <w:lang w:val="en-US" w:eastAsia="zh-CN"/>
        </w:rPr>
        <w:t>91</w:t>
      </w:r>
      <w:r>
        <w:rPr>
          <w:szCs w:val="32"/>
        </w:rPr>
        <w:t>万元，主要包括以下支出：</w:t>
      </w:r>
      <w:r>
        <w:rPr>
          <w:rFonts w:hint="eastAsia"/>
          <w:szCs w:val="32"/>
        </w:rPr>
        <w:t>办公费4.45万元、印刷费0.06万元、取暖费0.98万元、物业管理费1.04万元、差旅费1.50万元、培训费0.30万元、委托业务费0.88万元、工会经费4.55万元、公务用车运行维护费2.50万元、其他商品和服务支出9.16万元</w:t>
      </w:r>
      <w:r>
        <w:rPr>
          <w:rFonts w:hint="eastAsia"/>
          <w:szCs w:val="32"/>
          <w:lang w:eastAsia="zh-CN"/>
        </w:rPr>
        <w:t>、其他对个人和家庭的补助</w:t>
      </w:r>
      <w:r>
        <w:rPr>
          <w:rFonts w:hint="eastAsia"/>
          <w:szCs w:val="32"/>
          <w:lang w:val="en-US" w:eastAsia="zh-CN"/>
        </w:rPr>
        <w:t>0.48元。</w:t>
      </w:r>
      <w:r>
        <w:rPr>
          <w:rFonts w:hint="eastAsia"/>
          <w:kern w:val="0"/>
        </w:rPr>
        <w:t>与上年相比增加</w:t>
      </w:r>
      <w:r>
        <w:rPr>
          <w:rFonts w:hint="eastAsia" w:eastAsia="宋体"/>
          <w:kern w:val="0"/>
          <w:lang w:val="en-US" w:eastAsia="zh-CN"/>
        </w:rPr>
        <w:t>2.39</w:t>
      </w:r>
      <w:r>
        <w:rPr>
          <w:rFonts w:hint="eastAsia"/>
          <w:kern w:val="0"/>
        </w:rPr>
        <w:t>万元，增长</w:t>
      </w:r>
      <w:r>
        <w:rPr>
          <w:rFonts w:hint="eastAsia" w:eastAsia="宋体"/>
          <w:kern w:val="0"/>
          <w:lang w:val="en-US" w:eastAsia="zh-CN"/>
        </w:rPr>
        <w:t>10.16</w:t>
      </w:r>
      <w:r>
        <w:rPr>
          <w:rFonts w:eastAsia="Times New Roman"/>
          <w:kern w:val="0"/>
        </w:rPr>
        <w:t>%</w:t>
      </w:r>
      <w:r>
        <w:rPr>
          <w:rFonts w:hint="eastAsia"/>
          <w:kern w:val="0"/>
        </w:rPr>
        <w:t>。</w:t>
      </w:r>
      <w:r>
        <w:rPr>
          <w:szCs w:val="32"/>
        </w:rPr>
        <w:t>主要原因是：</w:t>
      </w:r>
      <w:r>
        <w:rPr>
          <w:rFonts w:hint="eastAsia"/>
          <w:szCs w:val="32"/>
          <w:lang w:eastAsia="zh-CN"/>
        </w:rPr>
        <w:t>人员增加，相应费用也增加</w:t>
      </w:r>
      <w:r>
        <w:rPr>
          <w:szCs w:val="32"/>
        </w:rPr>
        <w:t>。</w:t>
      </w:r>
    </w:p>
    <w:p w14:paraId="0A850A5C">
      <w:pPr>
        <w:pBdr>
          <w:bottom w:val="single" w:color="FFFFFF" w:sz="4" w:space="30"/>
        </w:pBdr>
        <w:snapToGrid w:val="0"/>
        <w:ind w:firstLine="640" w:firstLineChars="200"/>
        <w:rPr>
          <w:rFonts w:hint="eastAsia" w:eastAsia="黑体" w:cs="黑体"/>
          <w:szCs w:val="36"/>
        </w:rPr>
      </w:pPr>
      <w:r>
        <w:rPr>
          <w:rFonts w:hint="eastAsia" w:eastAsia="黑体" w:cs="黑体"/>
          <w:szCs w:val="36"/>
        </w:rPr>
        <w:t>十二、政府采购支出预算情况说明</w:t>
      </w:r>
    </w:p>
    <w:p w14:paraId="3E829E31">
      <w:pPr>
        <w:keepNext w:val="0"/>
        <w:keepLines w:val="0"/>
        <w:pageBreakBefore w:val="0"/>
        <w:widowControl w:val="0"/>
        <w:pBdr>
          <w:bottom w:val="single" w:color="FFFFFF" w:sz="4" w:space="30"/>
        </w:pBdr>
        <w:kinsoku/>
        <w:wordWrap/>
        <w:overflowPunct/>
        <w:topLinePunct w:val="0"/>
        <w:autoSpaceDE/>
        <w:autoSpaceDN/>
        <w:bidi w:val="0"/>
        <w:adjustRightInd/>
        <w:snapToGrid w:val="0"/>
        <w:ind w:firstLine="640" w:firstLineChars="200"/>
        <w:textAlignment w:val="auto"/>
        <w:rPr>
          <w:rFonts w:hint="eastAsia"/>
          <w:szCs w:val="22"/>
          <w:highlight w:val="none"/>
        </w:rPr>
      </w:pPr>
      <w:r>
        <w:rPr>
          <w:szCs w:val="32"/>
          <w:highlight w:val="none"/>
        </w:rPr>
        <w:t>2026年度政府采购支出预算总额3</w:t>
      </w:r>
      <w:r>
        <w:rPr>
          <w:rFonts w:hint="eastAsia"/>
          <w:szCs w:val="32"/>
          <w:highlight w:val="none"/>
          <w:lang w:val="en-US" w:eastAsia="zh-CN"/>
        </w:rPr>
        <w:t>.71</w:t>
      </w:r>
      <w:r>
        <w:rPr>
          <w:szCs w:val="32"/>
          <w:highlight w:val="none"/>
        </w:rPr>
        <w:t>万元，其中：</w:t>
      </w:r>
      <w:r>
        <w:rPr>
          <w:rFonts w:hint="eastAsia"/>
          <w:highlight w:val="none"/>
        </w:rPr>
        <w:t>拟采购货物支出</w:t>
      </w:r>
      <w:r>
        <w:rPr>
          <w:rFonts w:eastAsia="Times New Roman"/>
          <w:highlight w:val="none"/>
        </w:rPr>
        <w:t>0.15</w:t>
      </w:r>
      <w:r>
        <w:rPr>
          <w:rFonts w:hint="eastAsia"/>
          <w:highlight w:val="none"/>
        </w:rPr>
        <w:t>万元、拟采购工程支出</w:t>
      </w:r>
      <w:r>
        <w:rPr>
          <w:rFonts w:eastAsia="Times New Roman"/>
          <w:highlight w:val="none"/>
        </w:rPr>
        <w:t>0</w:t>
      </w:r>
      <w:r>
        <w:rPr>
          <w:rFonts w:hint="eastAsia"/>
          <w:highlight w:val="none"/>
        </w:rPr>
        <w:t>万元、拟购买服务支出</w:t>
      </w:r>
      <w:r>
        <w:rPr>
          <w:rFonts w:eastAsia="Times New Roman"/>
          <w:highlight w:val="none"/>
        </w:rPr>
        <w:t>3</w:t>
      </w:r>
      <w:r>
        <w:rPr>
          <w:rFonts w:hint="eastAsia" w:eastAsia="宋体"/>
          <w:highlight w:val="none"/>
          <w:lang w:val="en-US" w:eastAsia="zh-CN"/>
        </w:rPr>
        <w:t>.71</w:t>
      </w:r>
      <w:r>
        <w:rPr>
          <w:rFonts w:hint="eastAsia"/>
          <w:highlight w:val="none"/>
        </w:rPr>
        <w:t>万元。涵盖“其他印刷服务”、</w:t>
      </w:r>
      <w:r>
        <w:rPr>
          <w:rFonts w:eastAsia="Times New Roman"/>
          <w:highlight w:val="none"/>
        </w:rPr>
        <w:t>“</w:t>
      </w:r>
      <w:r>
        <w:rPr>
          <w:rFonts w:hint="eastAsia"/>
          <w:highlight w:val="none"/>
        </w:rPr>
        <w:t>物业管理服务</w:t>
      </w:r>
      <w:r>
        <w:rPr>
          <w:rFonts w:eastAsia="Times New Roman"/>
          <w:highlight w:val="none"/>
        </w:rPr>
        <w:t>”</w:t>
      </w:r>
      <w:r>
        <w:rPr>
          <w:rFonts w:hint="eastAsia"/>
          <w:highlight w:val="none"/>
        </w:rPr>
        <w:t>、“复印纸”、</w:t>
      </w:r>
      <w:r>
        <w:rPr>
          <w:rFonts w:eastAsia="Times New Roman"/>
          <w:highlight w:val="none"/>
        </w:rPr>
        <w:t>“</w:t>
      </w:r>
      <w:r>
        <w:rPr>
          <w:rFonts w:hint="eastAsia"/>
          <w:highlight w:val="none"/>
        </w:rPr>
        <w:t>财产保险服务</w:t>
      </w:r>
      <w:r>
        <w:rPr>
          <w:rFonts w:eastAsia="Times New Roman"/>
          <w:highlight w:val="none"/>
        </w:rPr>
        <w:t>”</w:t>
      </w:r>
      <w:r>
        <w:rPr>
          <w:rFonts w:hint="eastAsia"/>
          <w:highlight w:val="none"/>
        </w:rPr>
        <w:t>、</w:t>
      </w:r>
      <w:r>
        <w:rPr>
          <w:rFonts w:eastAsia="Times New Roman"/>
          <w:highlight w:val="none"/>
        </w:rPr>
        <w:t>“</w:t>
      </w:r>
      <w:r>
        <w:rPr>
          <w:rFonts w:hint="eastAsia"/>
          <w:highlight w:val="none"/>
        </w:rPr>
        <w:t>车辆加油、添加燃料服务</w:t>
      </w:r>
      <w:r>
        <w:rPr>
          <w:rFonts w:eastAsia="Times New Roman"/>
          <w:highlight w:val="none"/>
        </w:rPr>
        <w:t>”</w:t>
      </w:r>
      <w:r>
        <w:rPr>
          <w:rFonts w:hint="eastAsia"/>
          <w:highlight w:val="none"/>
        </w:rPr>
        <w:t>、“车辆维修和保养服务”等采购大类，编制政府采购预算明细</w:t>
      </w:r>
      <w:r>
        <w:rPr>
          <w:rFonts w:eastAsia="Times New Roman"/>
          <w:highlight w:val="none"/>
        </w:rPr>
        <w:t>6</w:t>
      </w:r>
      <w:r>
        <w:rPr>
          <w:rFonts w:hint="eastAsia"/>
          <w:highlight w:val="none"/>
        </w:rPr>
        <w:t>项，采购金额来源为本年财政拨款预算。</w:t>
      </w:r>
    </w:p>
    <w:p w14:paraId="6FA73E74">
      <w:pPr>
        <w:pBdr>
          <w:bottom w:val="single" w:color="FFFFFF" w:sz="4" w:space="30"/>
        </w:pBdr>
        <w:snapToGrid w:val="0"/>
        <w:ind w:firstLine="640" w:firstLineChars="200"/>
        <w:rPr>
          <w:rFonts w:eastAsia="黑体" w:cs="黑体"/>
          <w:szCs w:val="36"/>
          <w:highlight w:val="none"/>
        </w:rPr>
      </w:pPr>
      <w:r>
        <w:rPr>
          <w:rFonts w:hint="eastAsia" w:eastAsia="黑体" w:cs="黑体"/>
          <w:szCs w:val="36"/>
          <w:highlight w:val="none"/>
        </w:rPr>
        <w:t>十三、国有资产占用情况说明</w:t>
      </w:r>
    </w:p>
    <w:p w14:paraId="39DD5B87">
      <w:pPr>
        <w:pBdr>
          <w:bottom w:val="single" w:color="FFFFFF" w:sz="4" w:space="30"/>
        </w:pBdr>
        <w:snapToGrid w:val="0"/>
        <w:ind w:firstLine="640" w:firstLineChars="200"/>
        <w:rPr>
          <w:szCs w:val="32"/>
        </w:rPr>
      </w:pPr>
      <w:r>
        <w:rPr>
          <w:szCs w:val="32"/>
        </w:rPr>
        <w:t>本单位共有车辆1辆，其中，一般公务用车1辆、执法执勤用车0辆、特种专业技术用车0辆、业务用车0辆、其他用车0辆等。单价50万元（含）以上的通用设备0台（套），单价100万元（含）以上的专用设备0台（套）。</w:t>
      </w:r>
    </w:p>
    <w:p w14:paraId="613DCDEA">
      <w:pPr>
        <w:pBdr>
          <w:bottom w:val="single" w:color="FFFFFF" w:sz="4" w:space="30"/>
        </w:pBdr>
        <w:snapToGrid w:val="0"/>
        <w:rPr>
          <w:rFonts w:cstheme="minorBidi"/>
          <w:szCs w:val="32"/>
        </w:rPr>
      </w:pPr>
      <w:r>
        <w:rPr>
          <w:rFonts w:hint="eastAsia" w:eastAsia="黑体" w:cs="黑体"/>
          <w:szCs w:val="36"/>
        </w:rPr>
        <w:t xml:space="preserve">    十四、项目绩效目标情况说明</w:t>
      </w:r>
      <w:r>
        <w:rPr>
          <w:rFonts w:hint="eastAsia" w:eastAsia="黑体" w:cs="黑体"/>
          <w:b/>
          <w:bCs/>
          <w:szCs w:val="36"/>
        </w:rPr>
        <w:t xml:space="preserve"> </w:t>
      </w:r>
    </w:p>
    <w:p w14:paraId="3AC5C5D6">
      <w:pPr>
        <w:pBdr>
          <w:bottom w:val="single" w:color="FFFFFF" w:sz="4" w:space="30"/>
        </w:pBdr>
        <w:snapToGrid w:val="0"/>
        <w:ind w:firstLine="321" w:firstLineChars="100"/>
        <w:rPr>
          <w:rFonts w:ascii="方正小标宋简体" w:hAnsi="方正小标宋简体" w:eastAsia="方正小标宋简体" w:cs="方正小标宋简体"/>
          <w:sz w:val="36"/>
          <w:szCs w:val="36"/>
        </w:rPr>
      </w:pPr>
      <w:r>
        <w:rPr>
          <w:rFonts w:hint="eastAsia" w:eastAsia="黑体" w:cs="黑体"/>
          <w:b/>
          <w:bCs/>
          <w:szCs w:val="36"/>
        </w:rPr>
        <w:t xml:space="preserve">  </w:t>
      </w:r>
      <w:r>
        <w:rPr>
          <w:rFonts w:cstheme="minorBidi"/>
          <w:szCs w:val="32"/>
        </w:rPr>
        <w:t>2026</w:t>
      </w:r>
      <w:r>
        <w:rPr>
          <w:rFonts w:hint="eastAsia" w:cstheme="minorBidi"/>
          <w:szCs w:val="32"/>
        </w:rPr>
        <w:t>年，填报绩效目标的预算项目</w:t>
      </w:r>
      <w:r>
        <w:rPr>
          <w:rFonts w:cstheme="minorBidi"/>
          <w:szCs w:val="32"/>
        </w:rPr>
        <w:t>0</w:t>
      </w:r>
      <w:r>
        <w:rPr>
          <w:rFonts w:hint="eastAsia" w:cstheme="minorBidi"/>
          <w:szCs w:val="32"/>
        </w:rPr>
        <w:t>个，公开绩效目标</w:t>
      </w:r>
      <w:r>
        <w:rPr>
          <w:rFonts w:cstheme="minorBidi"/>
          <w:szCs w:val="32"/>
        </w:rPr>
        <w:t>0</w:t>
      </w:r>
      <w:r>
        <w:rPr>
          <w:rFonts w:hint="eastAsia" w:cstheme="minorBidi"/>
          <w:szCs w:val="32"/>
        </w:rPr>
        <w:t>个，公开项目占本年预算项目的</w:t>
      </w:r>
      <w:r>
        <w:rPr>
          <w:rFonts w:hint="eastAsia" w:cstheme="minorBidi"/>
          <w:szCs w:val="32"/>
          <w:lang w:val="en-US" w:eastAsia="zh-CN"/>
        </w:rPr>
        <w:t>0</w:t>
      </w:r>
      <w:r>
        <w:rPr>
          <w:rFonts w:hint="eastAsia" w:cstheme="minorBidi"/>
          <w:szCs w:val="32"/>
        </w:rPr>
        <w:t xml:space="preserve"> %。公开填报绩效目标的项目预算</w:t>
      </w:r>
      <w:r>
        <w:rPr>
          <w:rFonts w:cstheme="minorBidi"/>
          <w:szCs w:val="32"/>
        </w:rPr>
        <w:t>0</w:t>
      </w:r>
      <w:r>
        <w:rPr>
          <w:rFonts w:hint="eastAsia" w:cstheme="minorBidi"/>
          <w:szCs w:val="32"/>
        </w:rPr>
        <w:t>万元，占本年项目预算的</w:t>
      </w:r>
      <w:r>
        <w:rPr>
          <w:rFonts w:cstheme="minorBidi"/>
          <w:szCs w:val="32"/>
        </w:rPr>
        <w:t>0</w:t>
      </w:r>
      <w:r>
        <w:rPr>
          <w:rFonts w:hint="eastAsia" w:cstheme="minorBidi"/>
          <w:szCs w:val="32"/>
        </w:rPr>
        <w:t>%。</w:t>
      </w:r>
    </w:p>
    <w:p w14:paraId="0468A89A">
      <w:pPr>
        <w:pStyle w:val="7"/>
        <w:tabs>
          <w:tab w:val="left" w:pos="4392"/>
        </w:tabs>
        <w:spacing w:before="0" w:after="0" w:line="600" w:lineRule="exact"/>
        <w:ind w:firstLine="720" w:firstLineChars="200"/>
        <w:jc w:val="center"/>
        <w:rPr>
          <w:rFonts w:ascii="方正小标宋简体" w:hAnsi="方正小标宋简体" w:eastAsia="方正小标宋简体" w:cs="方正小标宋简体"/>
          <w:b w:val="0"/>
          <w:bCs w:val="0"/>
          <w:sz w:val="36"/>
          <w:szCs w:val="36"/>
        </w:rPr>
      </w:pPr>
      <w:r>
        <w:rPr>
          <w:rFonts w:hint="eastAsia" w:ascii="方正小标宋简体" w:hAnsi="方正小标宋简体" w:eastAsia="方正小标宋简体" w:cs="方正小标宋简体"/>
          <w:b w:val="0"/>
          <w:bCs w:val="0"/>
          <w:sz w:val="36"/>
          <w:szCs w:val="36"/>
        </w:rPr>
        <w:t>第三部分   名词解释</w:t>
      </w:r>
    </w:p>
    <w:p w14:paraId="42862E02">
      <w:pPr>
        <w:ind w:firstLine="720"/>
        <w:rPr>
          <w:sz w:val="36"/>
          <w:szCs w:val="36"/>
        </w:rPr>
      </w:pPr>
    </w:p>
    <w:p w14:paraId="16ACEA42">
      <w:pPr>
        <w:ind w:firstLine="643" w:firstLineChars="200"/>
        <w:rPr>
          <w:rFonts w:cstheme="minorBidi"/>
          <w:szCs w:val="32"/>
        </w:rPr>
      </w:pPr>
      <w:r>
        <w:rPr>
          <w:rFonts w:hint="eastAsia" w:cstheme="minorBidi"/>
          <w:b/>
          <w:bCs/>
          <w:szCs w:val="32"/>
        </w:rPr>
        <w:t>一、财政拨款：</w:t>
      </w:r>
      <w:r>
        <w:rPr>
          <w:rFonts w:hint="eastAsia" w:cstheme="minorBidi"/>
          <w:szCs w:val="32"/>
        </w:rPr>
        <w:t>部门/单位从同级财政部门取得的各类财政拨款，包括一般公共预算拨款、政府性基金预算拨款、国有资本经营预算拨款。</w:t>
      </w:r>
    </w:p>
    <w:p w14:paraId="0904FE87">
      <w:pPr>
        <w:ind w:firstLine="643" w:firstLineChars="200"/>
      </w:pPr>
      <w:r>
        <w:rPr>
          <w:rFonts w:hint="eastAsia" w:cstheme="minorBidi"/>
          <w:b/>
          <w:bCs/>
          <w:szCs w:val="32"/>
        </w:rPr>
        <w:t>二、一般公共预算拨款收入：</w:t>
      </w:r>
      <w:r>
        <w:rPr>
          <w:rFonts w:hint="eastAsia" w:ascii="仿宋" w:hAnsi="仿宋" w:eastAsia="仿宋" w:cs="仿宋"/>
          <w:bCs/>
          <w:sz w:val="30"/>
          <w:szCs w:val="30"/>
        </w:rPr>
        <w:t>指市级财政当年拨付的资金。</w:t>
      </w:r>
    </w:p>
    <w:p w14:paraId="130BC970">
      <w:pPr>
        <w:ind w:firstLine="643" w:firstLineChars="200"/>
        <w:rPr>
          <w:rFonts w:cstheme="minorBidi"/>
          <w:szCs w:val="32"/>
        </w:rPr>
      </w:pPr>
      <w:r>
        <w:rPr>
          <w:rFonts w:hint="eastAsia" w:cstheme="minorBidi"/>
          <w:b/>
          <w:bCs/>
          <w:szCs w:val="32"/>
        </w:rPr>
        <w:t>三、财政专户管理资金：</w:t>
      </w:r>
      <w:r>
        <w:rPr>
          <w:rFonts w:hint="eastAsia" w:cstheme="minorBidi"/>
          <w:szCs w:val="32"/>
        </w:rPr>
        <w:t>缴入财政专户、实行专项管理的高中以上学费、住宿费、高校委托培养费、函大、电大、夜大及短训班培训费等教育收费。</w:t>
      </w:r>
    </w:p>
    <w:p w14:paraId="75F6A295">
      <w:pPr>
        <w:ind w:firstLine="643" w:firstLineChars="200"/>
        <w:rPr>
          <w:rFonts w:cstheme="minorBidi"/>
          <w:szCs w:val="32"/>
        </w:rPr>
      </w:pPr>
      <w:r>
        <w:rPr>
          <w:rFonts w:hint="eastAsia" w:cstheme="minorBidi"/>
          <w:b/>
          <w:bCs/>
          <w:szCs w:val="32"/>
        </w:rPr>
        <w:t>四、单位资金：</w:t>
      </w:r>
      <w:r>
        <w:rPr>
          <w:rFonts w:hint="eastAsia" w:cstheme="minorBidi"/>
          <w:szCs w:val="32"/>
        </w:rPr>
        <w:t>除财政拨款收入和财政专户管理资金以外的收入，包括事业收入（不含教育收费）、上级补助收入、附属单位上缴收入、事业单位经营收入及其他收入（包含债务收入、投资收益等）。</w:t>
      </w:r>
    </w:p>
    <w:p w14:paraId="6CCAAF41">
      <w:pPr>
        <w:ind w:firstLine="643" w:firstLineChars="200"/>
        <w:rPr>
          <w:rFonts w:cstheme="minorBidi"/>
          <w:szCs w:val="32"/>
        </w:rPr>
      </w:pPr>
      <w:r>
        <w:rPr>
          <w:rFonts w:hint="eastAsia" w:cstheme="minorBidi"/>
          <w:b/>
          <w:bCs/>
          <w:szCs w:val="32"/>
        </w:rPr>
        <w:t>五、基本支出：</w:t>
      </w:r>
      <w:r>
        <w:rPr>
          <w:rFonts w:hint="eastAsia" w:cstheme="minorBidi"/>
          <w:szCs w:val="32"/>
        </w:rPr>
        <w:t>指为保障机构正常运转、完成工作任务而发生的人员支出和公用支出。</w:t>
      </w:r>
    </w:p>
    <w:p w14:paraId="30163255">
      <w:pPr>
        <w:ind w:firstLine="643" w:firstLineChars="200"/>
        <w:rPr>
          <w:rFonts w:cstheme="minorBidi"/>
          <w:szCs w:val="32"/>
        </w:rPr>
      </w:pPr>
      <w:r>
        <w:rPr>
          <w:rFonts w:hint="eastAsia" w:cstheme="minorBidi"/>
          <w:b/>
          <w:bCs/>
          <w:szCs w:val="32"/>
        </w:rPr>
        <w:t>六、项目支出：</w:t>
      </w:r>
      <w:r>
        <w:rPr>
          <w:rFonts w:hint="eastAsia" w:cstheme="minorBidi"/>
          <w:szCs w:val="32"/>
        </w:rPr>
        <w:t>指在基本支出之外为完成特定工作任务和事业发展目标所发生的支出。</w:t>
      </w:r>
    </w:p>
    <w:p w14:paraId="53327F40">
      <w:pPr>
        <w:ind w:firstLine="643" w:firstLineChars="200"/>
        <w:rPr>
          <w:rFonts w:cstheme="minorBidi"/>
          <w:szCs w:val="32"/>
        </w:rPr>
      </w:pPr>
      <w:r>
        <w:rPr>
          <w:rFonts w:hint="eastAsia" w:cstheme="minorBidi"/>
          <w:b/>
          <w:bCs/>
          <w:szCs w:val="32"/>
        </w:rPr>
        <w:t>七、对个人和家庭的补助：</w:t>
      </w:r>
      <w:r>
        <w:rPr>
          <w:rFonts w:hint="eastAsia" w:cstheme="minorBidi"/>
          <w:szCs w:val="32"/>
        </w:rPr>
        <w:t>是指政府用于对个人和家庭的补助支出。</w:t>
      </w:r>
    </w:p>
    <w:p w14:paraId="6B54FAF4">
      <w:pPr>
        <w:ind w:firstLine="643" w:firstLineChars="200"/>
        <w:rPr>
          <w:rFonts w:cstheme="minorBidi"/>
          <w:szCs w:val="32"/>
        </w:rPr>
      </w:pPr>
      <w:r>
        <w:rPr>
          <w:rFonts w:hint="eastAsia" w:cstheme="minorBidi"/>
          <w:b/>
          <w:bCs/>
          <w:szCs w:val="32"/>
        </w:rPr>
        <w:t>八、“三公”经费：</w:t>
      </w:r>
      <w:r>
        <w:rPr>
          <w:rFonts w:hint="eastAsia" w:cstheme="minorBidi"/>
          <w:szCs w:val="32"/>
        </w:rPr>
        <w:t>指部门/单位用一般公共预算财政拨款安排的因公出国（境）费、公务用车购置及运行维护费和公务接待费。其中，因公出国（境）费反映部门/单位公务出国（境）的住宿费、旅费、伙食补助费、杂费、培训费等支出；公务用车购置及运行维护费反映部门/单位公务用车购置费、燃料费、维修费、过路过桥费、保险费、安全奖励费用等支出；公务接待费反映部门/单位按规定开支的各类公务接待（含外宾接待）支出。</w:t>
      </w:r>
    </w:p>
    <w:p w14:paraId="4052232A">
      <w:pPr>
        <w:ind w:firstLine="643" w:firstLineChars="200"/>
        <w:rPr>
          <w:rFonts w:cstheme="minorBidi"/>
          <w:szCs w:val="32"/>
        </w:rPr>
      </w:pPr>
      <w:r>
        <w:rPr>
          <w:rFonts w:hint="eastAsia" w:cstheme="minorBidi"/>
          <w:b/>
          <w:bCs/>
          <w:szCs w:val="32"/>
        </w:rPr>
        <w:t>九、机关运行经费：</w:t>
      </w:r>
      <w:r>
        <w:rPr>
          <w:rFonts w:hint="eastAsia" w:cstheme="minorBidi"/>
          <w:szCs w:val="32"/>
        </w:rPr>
        <w:t>指部门/单位使用一般公共预算安排的基本支出中的日常公用经费支出，包括办公及印刷费、邮电费、差旅费、会议费、福利费、日常维修费、专用材料及一般设备购置费、办公用房水电费、办公用房取暖费、办公用房物业管理费、公务用车运行维护费及其他费用等。</w:t>
      </w:r>
    </w:p>
    <w:p w14:paraId="28730D62">
      <w:pPr>
        <w:ind w:firstLine="643" w:firstLineChars="200"/>
        <w:rPr>
          <w:rFonts w:cstheme="minorBidi"/>
          <w:b/>
          <w:bCs/>
          <w:szCs w:val="32"/>
        </w:rPr>
      </w:pPr>
    </w:p>
    <w:p w14:paraId="06F4FC87">
      <w:pPr>
        <w:ind w:firstLine="720"/>
        <w:jc w:val="center"/>
        <w:rPr>
          <w:rFonts w:ascii="方正小标宋简体" w:hAnsi="方正小标宋简体" w:eastAsia="方正小标宋简体" w:cs="方正小标宋简体"/>
          <w:sz w:val="36"/>
          <w:szCs w:val="36"/>
        </w:rPr>
      </w:pPr>
    </w:p>
    <w:p w14:paraId="4F0E6CA0">
      <w:pPr>
        <w:ind w:firstLine="720"/>
        <w:jc w:val="center"/>
        <w:rPr>
          <w:rFonts w:ascii="方正小标宋简体" w:hAnsi="方正小标宋简体" w:eastAsia="方正小标宋简体" w:cs="方正小标宋简体"/>
          <w:sz w:val="36"/>
          <w:szCs w:val="36"/>
        </w:rPr>
      </w:pPr>
      <w:r>
        <w:rPr>
          <w:rFonts w:hint="eastAsia" w:ascii="方正小标宋简体" w:hAnsi="方正小标宋简体" w:eastAsia="方正小标宋简体" w:cs="方正小标宋简体"/>
          <w:sz w:val="36"/>
          <w:szCs w:val="36"/>
        </w:rPr>
        <w:t>第四部分</w:t>
      </w:r>
      <w:r>
        <w:rPr>
          <w:rFonts w:hint="eastAsia" w:ascii="仿宋" w:hAnsi="仿宋" w:eastAsia="仿宋" w:cs="仿宋"/>
          <w:sz w:val="36"/>
          <w:szCs w:val="36"/>
        </w:rPr>
        <w:t xml:space="preserve"> </w:t>
      </w:r>
      <w:r>
        <w:rPr>
          <w:rFonts w:hint="eastAsia" w:ascii="方正小标宋简体" w:hAnsi="方正小标宋简体" w:eastAsia="方正小标宋简体" w:cs="方正小标宋简体"/>
          <w:sz w:val="36"/>
          <w:szCs w:val="36"/>
        </w:rPr>
        <w:t>预算公开联系方式及信息反馈渠道</w:t>
      </w:r>
    </w:p>
    <w:p w14:paraId="52189EF7">
      <w:pPr>
        <w:snapToGrid w:val="0"/>
        <w:ind w:firstLine="720"/>
        <w:rPr>
          <w:rFonts w:ascii="方正小标宋简体" w:hAnsi="方正小标宋简体" w:eastAsia="方正小标宋简体" w:cs="方正小标宋简体"/>
          <w:sz w:val="36"/>
          <w:szCs w:val="36"/>
        </w:rPr>
      </w:pPr>
    </w:p>
    <w:p w14:paraId="72DDF466">
      <w:pPr>
        <w:keepNext w:val="0"/>
        <w:keepLines w:val="0"/>
        <w:pageBreakBefore w:val="0"/>
        <w:widowControl w:val="0"/>
        <w:kinsoku/>
        <w:wordWrap/>
        <w:overflowPunct/>
        <w:topLinePunct w:val="0"/>
        <w:autoSpaceDE/>
        <w:autoSpaceDN/>
        <w:bidi w:val="0"/>
        <w:adjustRightInd/>
        <w:snapToGrid w:val="0"/>
        <w:ind w:firstLine="640" w:firstLineChars="200"/>
        <w:textAlignment w:val="auto"/>
        <w:rPr>
          <w:rFonts w:ascii="仿宋_GB2312" w:hAnsi="仿宋_GB2312" w:cs="仿宋_GB2312"/>
          <w:szCs w:val="32"/>
        </w:rPr>
      </w:pPr>
      <w:r>
        <w:rPr>
          <w:rFonts w:hint="eastAsia" w:ascii="仿宋_GB2312" w:hAnsi="仿宋_GB2312" w:cs="仿宋_GB2312"/>
          <w:szCs w:val="32"/>
        </w:rPr>
        <w:t>本单位预算公开信息反馈和联系方式：</w:t>
      </w:r>
    </w:p>
    <w:p w14:paraId="2B8971A3">
      <w:pPr>
        <w:keepNext w:val="0"/>
        <w:keepLines w:val="0"/>
        <w:pageBreakBefore w:val="0"/>
        <w:widowControl w:val="0"/>
        <w:kinsoku/>
        <w:wordWrap/>
        <w:overflowPunct/>
        <w:topLinePunct w:val="0"/>
        <w:autoSpaceDE/>
        <w:autoSpaceDN/>
        <w:bidi w:val="0"/>
        <w:adjustRightInd/>
        <w:snapToGrid w:val="0"/>
        <w:ind w:firstLine="640" w:firstLineChars="200"/>
        <w:textAlignment w:val="auto"/>
        <w:rPr>
          <w:rFonts w:hint="default" w:eastAsia="仿宋_GB2312" w:cstheme="minorBidi"/>
          <w:sz w:val="30"/>
          <w:szCs w:val="30"/>
          <w:lang w:val="en-US" w:eastAsia="zh-CN"/>
        </w:rPr>
      </w:pPr>
      <w:r>
        <w:rPr>
          <w:rFonts w:hint="eastAsia" w:ascii="仿宋_GB2312" w:hAnsi="仿宋_GB2312" w:cs="仿宋_GB2312"/>
          <w:szCs w:val="32"/>
        </w:rPr>
        <w:t xml:space="preserve">联系人： </w:t>
      </w:r>
      <w:r>
        <w:rPr>
          <w:rFonts w:hint="eastAsia" w:ascii="仿宋_GB2312" w:hAnsi="仿宋_GB2312" w:cs="仿宋_GB2312"/>
          <w:szCs w:val="32"/>
          <w:lang w:eastAsia="zh-CN"/>
        </w:rPr>
        <w:t>王春玲</w:t>
      </w:r>
      <w:r>
        <w:rPr>
          <w:rFonts w:hint="eastAsia" w:ascii="仿宋_GB2312" w:hAnsi="仿宋_GB2312" w:cs="仿宋_GB2312"/>
          <w:szCs w:val="32"/>
        </w:rPr>
        <w:t xml:space="preserve">             联系电话：</w:t>
      </w:r>
      <w:r>
        <w:rPr>
          <w:rFonts w:hint="eastAsia" w:ascii="仿宋_GB2312" w:hAnsi="仿宋_GB2312" w:cs="仿宋_GB2312"/>
          <w:szCs w:val="32"/>
          <w:lang w:val="en-US" w:eastAsia="zh-CN"/>
        </w:rPr>
        <w:t>0472-2850864</w:t>
      </w:r>
    </w:p>
    <w:sectPr>
      <w:pgSz w:w="11910" w:h="16840"/>
      <w:pgMar w:top="1580" w:right="1080" w:bottom="280" w:left="1080" w:header="720" w:footer="720" w:gutter="0"/>
      <w:pgNumType w:fmt="numberInDash"/>
      <w:cols w:space="720" w:num="1"/>
      <w:docGrid w:linePitch="286"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embedRegular r:id="rId1" w:fontKey="{2F87A0E2-C1EA-412E-8961-0701EF9BDEC7}"/>
  </w:font>
  <w:font w:name="黑体">
    <w:panose1 w:val="02010609060101010101"/>
    <w:charset w:val="86"/>
    <w:family w:val="auto"/>
    <w:pitch w:val="default"/>
    <w:sig w:usb0="800002BF" w:usb1="38CF7CFA" w:usb2="00000016" w:usb3="00000000" w:csb0="00040001" w:csb1="00000000"/>
    <w:embedRegular r:id="rId2" w:fontKey="{B9B058C1-C171-452E-99F2-97F549318275}"/>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embedRegular r:id="rId3" w:fontKey="{7C1328BA-9538-492B-A22C-605AD424D462}"/>
  </w:font>
  <w:font w:name="Calibri">
    <w:panose1 w:val="020F0502020204030204"/>
    <w:charset w:val="00"/>
    <w:family w:val="swiss"/>
    <w:pitch w:val="default"/>
    <w:sig w:usb0="E00002FF" w:usb1="4000ACFF" w:usb2="00000001" w:usb3="00000000" w:csb0="2000019F" w:csb1="00000000"/>
  </w:font>
  <w:font w:name="等线">
    <w:panose1 w:val="02010600030101010101"/>
    <w:charset w:val="86"/>
    <w:family w:val="auto"/>
    <w:pitch w:val="default"/>
    <w:sig w:usb0="A00002BF" w:usb1="38CF7CFA" w:usb2="00000016" w:usb3="00000000" w:csb0="0004000F" w:csb1="00000000"/>
  </w:font>
  <w:font w:name="等线">
    <w:panose1 w:val="02010600030101010101"/>
    <w:charset w:val="86"/>
    <w:family w:val="auto"/>
    <w:pitch w:val="default"/>
    <w:sig w:usb0="A00002BF" w:usb1="38CF7CFA" w:usb2="00000016" w:usb3="00000000" w:csb0="0004000F" w:csb1="00000000"/>
    <w:embedRegular r:id="rId4" w:fontKey="{90626C69-EAC9-4CB9-B7A7-FA4043511B07}"/>
  </w:font>
  <w:font w:name="仿宋_GB2312">
    <w:panose1 w:val="02010609030101010101"/>
    <w:charset w:val="86"/>
    <w:family w:val="modern"/>
    <w:pitch w:val="default"/>
    <w:sig w:usb0="00000001" w:usb1="080E0000" w:usb2="00000000" w:usb3="00000000" w:csb0="00040000" w:csb1="00000000"/>
    <w:embedRegular r:id="rId5" w:fontKey="{AE9FBDDC-DC5D-428A-8EBD-19C60E16EC5E}"/>
  </w:font>
  <w:font w:name="等线 Light">
    <w:altName w:val="宋体"/>
    <w:panose1 w:val="02010600030101010101"/>
    <w:charset w:val="86"/>
    <w:family w:val="auto"/>
    <w:pitch w:val="default"/>
    <w:sig w:usb0="00000000" w:usb1="00000000" w:usb2="00000016" w:usb3="00000000" w:csb0="0004000F" w:csb1="00000000"/>
  </w:font>
  <w:font w:name="Helvetica">
    <w:altName w:val="Arial"/>
    <w:panose1 w:val="020B0604020202020204"/>
    <w:charset w:val="00"/>
    <w:family w:val="modern"/>
    <w:pitch w:val="default"/>
    <w:sig w:usb0="00000000" w:usb1="00000000" w:usb2="00000000" w:usb3="00000000" w:csb0="00000001" w:csb1="00000000"/>
  </w:font>
  <w:font w:name="Courier">
    <w:altName w:val="Courier New"/>
    <w:panose1 w:val="02070409020205020404"/>
    <w:charset w:val="00"/>
    <w:family w:val="roman"/>
    <w:pitch w:val="default"/>
    <w:sig w:usb0="00000000" w:usb1="00000000" w:usb2="00000000" w:usb3="00000000" w:csb0="00000001" w:csb1="00000000"/>
  </w:font>
  <w:font w:name="Tms Rmn">
    <w:altName w:val="Segoe Print"/>
    <w:panose1 w:val="02020603040505020304"/>
    <w:charset w:val="00"/>
    <w:family w:val="decorative"/>
    <w:pitch w:val="default"/>
    <w:sig w:usb0="00000000" w:usb1="00000000" w:usb2="00000000" w:usb3="00000000" w:csb0="00000001" w:csb1="00000000"/>
  </w:font>
  <w:font w:name="Segoe Print">
    <w:panose1 w:val="02000600000000000000"/>
    <w:charset w:val="00"/>
    <w:family w:val="auto"/>
    <w:pitch w:val="default"/>
    <w:sig w:usb0="0000028F" w:usb1="00000000" w:usb2="00000000" w:usb3="00000000" w:csb0="2000009F" w:csb1="47010000"/>
  </w:font>
  <w:font w:name="Helv">
    <w:altName w:val="Segoe Print"/>
    <w:panose1 w:val="020B0604020202030204"/>
    <w:charset w:val="00"/>
    <w:family w:val="modern"/>
    <w:pitch w:val="default"/>
    <w:sig w:usb0="00000000" w:usb1="00000000" w:usb2="00000000" w:usb3="00000000" w:csb0="00000001" w:csb1="00000000"/>
  </w:font>
  <w:font w:name="New York">
    <w:altName w:val="Times New Roman"/>
    <w:panose1 w:val="02040503060506020304"/>
    <w:charset w:val="00"/>
    <w:family w:val="decorative"/>
    <w:pitch w:val="default"/>
    <w:sig w:usb0="00000000" w:usb1="00000000" w:usb2="00000000" w:usb3="00000000" w:csb0="00000001" w:csb1="00000000"/>
  </w:font>
  <w:font w:name="Arial Unicode MS">
    <w:altName w:val="宋体"/>
    <w:panose1 w:val="020B0604020202020204"/>
    <w:charset w:val="86"/>
    <w:family w:val="modern"/>
    <w:pitch w:val="default"/>
    <w:sig w:usb0="00000000" w:usb1="00000000" w:usb2="0000003F" w:usb3="00000000" w:csb0="603F01FF" w:csb1="FFFF0000"/>
  </w:font>
  <w:font w:name="方正小标宋简体">
    <w:panose1 w:val="03000509000000000000"/>
    <w:charset w:val="86"/>
    <w:family w:val="script"/>
    <w:pitch w:val="default"/>
    <w:sig w:usb0="00000001" w:usb1="080E0000" w:usb2="00000000" w:usb3="00000000" w:csb0="00040000" w:csb1="00000000"/>
    <w:embedRegular r:id="rId6" w:fontKey="{7D122737-1970-4287-A027-FD0D57ACE7B8}"/>
  </w:font>
  <w:font w:name="仿宋">
    <w:panose1 w:val="02010609060101010101"/>
    <w:charset w:val="86"/>
    <w:family w:val="modern"/>
    <w:pitch w:val="default"/>
    <w:sig w:usb0="800002BF" w:usb1="38CF7CFA" w:usb2="00000016" w:usb3="00000000" w:csb0="00040001" w:csb1="00000000"/>
    <w:embedRegular r:id="rId7" w:fontKey="{F9CFDBE0-484A-4D05-B2FE-C523D7AD18A6}"/>
  </w:font>
  <w:font w:name="楷体">
    <w:panose1 w:val="02010609060101010101"/>
    <w:charset w:val="86"/>
    <w:family w:val="modern"/>
    <w:pitch w:val="default"/>
    <w:sig w:usb0="800002BF" w:usb1="38CF7CFA" w:usb2="00000016" w:usb3="00000000" w:csb0="00040001" w:csb1="00000000"/>
    <w:embedRegular r:id="rId8" w:fontKey="{3EDDF5A8-BA7E-41CE-8FF6-3D73941A4E68}"/>
  </w:font>
  <w:font w:name="微软雅黑">
    <w:panose1 w:val="020B0503020204020204"/>
    <w:charset w:val="86"/>
    <w:family w:val="swiss"/>
    <w:pitch w:val="default"/>
    <w:sig w:usb0="80000287" w:usb1="280F3C52" w:usb2="00000016" w:usb3="00000000" w:csb0="0004001F" w:csb1="00000000"/>
    <w:embedRegular r:id="rId9" w:fontKey="{868EC610-9654-4BA6-80CA-3BDBBE52D6C9}"/>
  </w:font>
  <w:font w:name="TimesNewRomanPSMT">
    <w:altName w:val="Times New Roman"/>
    <w:panose1 w:val="00000000000000000000"/>
    <w:charset w:val="00"/>
    <w:family w:val="auto"/>
    <w:pitch w:val="default"/>
    <w:sig w:usb0="00000000" w:usb1="00000000" w:usb2="00000000" w:usb3="00000000" w:csb0="00000000" w:csb1="00000000"/>
    <w:embedRegular r:id="rId10" w:fontKey="{DFBF22CB-2F10-4D21-A056-DFFB54F2B3BD}"/>
  </w:font>
  <w:font w:name="WPSEMBED1">
    <w:panose1 w:val="02010600030101010101"/>
    <w:charset w:val="86"/>
    <w:family w:val="auto"/>
    <w:pitch w:val="default"/>
    <w:sig w:usb0="A00002BF" w:usb1="38CF7CFA" w:usb2="00000016" w:usb3="00000000" w:csb0="0004000F" w:csb1="00000000"/>
  </w:font>
  <w:font w:name="等线 Light">
    <w:altName w:val="ksdb"/>
    <w:panose1 w:val="00000000000000000000"/>
    <w:charset w:val="00"/>
    <w:family w:val="auto"/>
    <w:pitch w:val="default"/>
    <w:sig w:usb0="00000000" w:usb1="00000000" w:usb2="00000000" w:usb3="00000000" w:csb0="00000000" w:csb1="00000000"/>
  </w:font>
  <w:font w:name="ksdb">
    <w:panose1 w:val="02000500000000000000"/>
    <w:charset w:val="00"/>
    <w:family w:val="auto"/>
    <w:pitch w:val="default"/>
    <w:sig w:usb0="00000001"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54EFFFA">
    <w:pPr>
      <w:pStyle w:val="14"/>
      <w:ind w:firstLine="360"/>
      <w:jc w:val="center"/>
    </w:pPr>
    <w:r>
      <mc:AlternateContent>
        <mc:Choice Requires="wps">
          <w:drawing>
            <wp:anchor distT="0" distB="0" distL="114300" distR="114300" simplePos="0" relativeHeight="251659264" behindDoc="0" locked="0" layoutInCell="1" allowOverlap="1">
              <wp:simplePos x="0" y="0"/>
              <wp:positionH relativeFrom="margin">
                <wp:align>right</wp:align>
              </wp:positionH>
              <wp:positionV relativeFrom="paragraph">
                <wp:posOffset>0</wp:posOffset>
              </wp:positionV>
              <wp:extent cx="1828800" cy="1828800"/>
              <wp:effectExtent l="0" t="0" r="0" b="0"/>
              <wp:wrapNone/>
              <wp:docPr id="196" name="文本框 19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4EBAA71">
                          <w:pPr>
                            <w:pStyle w:val="14"/>
                            <w:ind w:firstLine="360"/>
                          </w:pPr>
                          <w:r>
                            <w:fldChar w:fldCharType="begin"/>
                          </w:r>
                          <w:r>
                            <w:instrText xml:space="preserve"> PAGE  \* MERGEFORMAT </w:instrText>
                          </w:r>
                          <w:r>
                            <w:fldChar w:fldCharType="separate"/>
                          </w:r>
                          <w:r>
                            <w:t>- 17 -</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ZTuoktAgAAWQQAAA4AAABkcnMvZTJvRG9jLnhtbK1UzY7TMBC+I/EO&#10;lu80aRFVqZquylZFSBW7UkGcXcdpIvlPttukPAC8AScu3Pe5+hx8zk8XLRz2wMUZe8bf+PtmJoub&#10;RklyEs5XRmd0PEopEZqbvNKHjH7+tHk1o8QHpnMmjRYZPQtPb5YvXyxqOxcTUxqZC0cAov28thkt&#10;Q7DzJPG8FIr5kbFCw1kYp1jA1h2S3LEa6EomkzSdJrVxuXWGC+9xuu6ctEd0zwE0RVFxsTb8qIQO&#10;HaoTkgVQ8mVlPV22ry0KwcNdUXgRiMwomIZ2RRLY+7gmywWbHxyzZcX7J7DnPOEJJ8UqjaRXqDUL&#10;jBxd9ReUqrgz3hRhxI1KOiKtImAxTp9osyuZFS0XSO3tVXT//2D5x9O9I1WOTng7pUQzhZJffny/&#10;/Hy4/PpG4iEkqq2fI3JnERuad6ZB+HDucRiZN4VT8QtOBH4IfL4KLJpAeLw0m8xmKVwcvmED/OTx&#10;unU+vBdGkWhk1KGCrbDstPWhCx1CYjZtNpWUbRWlJnVGp6/fpO2FqwfgUiNHJNE9Nlqh2Tc9s73J&#10;zyDmTNcd3vJNheRb5sM9c2gHPBgDE+6wFNIgiektSkrjvv7rPMajSvBSUqO9MqoxTZTIDxrVA2AY&#10;DDcY+8HQR3Vr0K9jDKLlrYkLLsjBLJxRXzBFq5gDLqY5MmU0DOZt6FocU8jFatUGod8sC1u9szxC&#10;R/G8XR0DBGx1jaJ0SvRaoePayvTTEVv6z30b9fhHWP4G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lgQAAFtDb250ZW50X1R5cGVzXS54bWxQSwEC&#10;FAAKAAAAAACHTuJAAAAAAAAAAAAAAAAABgAAAAAAAAAAABAAAAB4AwAAX3JlbHMvUEsBAhQAFAAA&#10;AAgAh07iQIoUZjzRAAAAlAEAAAsAAAAAAAAAAQAgAAAAnAMAAF9yZWxzLy5yZWxzUEsBAhQACgAA&#10;AAAAh07iQAAAAAAAAAAAAAAAAAQAAAAAAAAAAAAQAAAAAAAAAGRycy9QSwECFAAUAAAACACHTuJA&#10;s0lY7tAAAAAFAQAADwAAAAAAAAABACAAAAAiAAAAZHJzL2Rvd25yZXYueG1sUEsBAhQAFAAAAAgA&#10;h07iQHZTuoktAgAAWQQAAA4AAAAAAAAAAQAgAAAAHwEAAGRycy9lMm9Eb2MueG1sUEsFBgAAAAAG&#10;AAYAWQEAAL4FAAAAAA==&#10;">
              <v:fill on="f" focussize="0,0"/>
              <v:stroke on="f" weight="0.5pt"/>
              <v:imagedata o:title=""/>
              <o:lock v:ext="edit" aspectratio="f"/>
              <v:textbox inset="0mm,0mm,0mm,0mm" style="mso-fit-shape-to-text:t;">
                <w:txbxContent>
                  <w:p w14:paraId="04EBAA71">
                    <w:pPr>
                      <w:pStyle w:val="14"/>
                      <w:ind w:firstLine="360"/>
                    </w:pPr>
                    <w:r>
                      <w:fldChar w:fldCharType="begin"/>
                    </w:r>
                    <w:r>
                      <w:instrText xml:space="preserve"> PAGE  \* MERGEFORMAT </w:instrText>
                    </w:r>
                    <w:r>
                      <w:fldChar w:fldCharType="separate"/>
                    </w:r>
                    <w:r>
                      <w:t>- 17 -</w:t>
                    </w:r>
                    <w:r>
                      <w:fldChar w:fldCharType="end"/>
                    </w:r>
                  </w:p>
                </w:txbxContent>
              </v:textbox>
            </v:shape>
          </w:pict>
        </mc:Fallback>
      </mc:AlternateContent>
    </w:r>
  </w:p>
  <w:p w14:paraId="0B3A7C3D">
    <w:pPr>
      <w:pStyle w:val="14"/>
      <w:ind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D30F8B1">
    <w:pPr>
      <w:ind w:left="60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265B7C3"/>
    <w:multiLevelType w:val="singleLevel"/>
    <w:tmpl w:val="3265B7C3"/>
    <w:lvl w:ilvl="0" w:tentative="0">
      <w:start w:val="1"/>
      <w:numFmt w:val="chineseCounting"/>
      <w:suff w:val="nothing"/>
      <w:lvlText w:val="%1、"/>
      <w:lvlJc w:val="left"/>
      <w:rPr>
        <w:rFonts w:hint="eastAsia"/>
      </w:rPr>
    </w:lvl>
  </w:abstractNum>
  <w:abstractNum w:abstractNumId="1">
    <w:nsid w:val="3C48195D"/>
    <w:multiLevelType w:val="singleLevel"/>
    <w:tmpl w:val="3C48195D"/>
    <w:lvl w:ilvl="0" w:tentative="0">
      <w:start w:val="2"/>
      <w:numFmt w:val="chineseCounting"/>
      <w:suff w:val="nothing"/>
      <w:lvlText w:val="（%1）"/>
      <w:lvlJc w:val="left"/>
      <w:rPr>
        <w:rFonts w:hint="eastAsia"/>
      </w:rPr>
    </w:lvl>
  </w:abstractNum>
  <w:abstractNum w:abstractNumId="2">
    <w:nsid w:val="4EC74364"/>
    <w:multiLevelType w:val="singleLevel"/>
    <w:tmpl w:val="4EC74364"/>
    <w:lvl w:ilvl="0" w:tentative="0">
      <w:start w:val="1"/>
      <w:numFmt w:val="chineseCounting"/>
      <w:suff w:val="nothing"/>
      <w:lvlText w:val="%1、"/>
      <w:lvlJc w:val="left"/>
      <w:rPr>
        <w:rFonts w:hint="eastAsia"/>
      </w:rPr>
    </w:lvl>
  </w:abstractNum>
  <w:abstractNum w:abstractNumId="3">
    <w:nsid w:val="64F2655B"/>
    <w:multiLevelType w:val="multilevel"/>
    <w:tmpl w:val="64F2655B"/>
    <w:lvl w:ilvl="0" w:tentative="0">
      <w:start w:val="1"/>
      <w:numFmt w:val="ideographDigital"/>
      <w:lvlText w:val="（%1）"/>
      <w:lvlJc w:val="left"/>
      <w:pPr>
        <w:ind w:left="14" w:firstLine="0"/>
      </w:pPr>
      <w:rPr>
        <w:rFonts w:ascii="仿宋_GB2312" w:hAnsi="仿宋_GB2312" w:eastAsia="仿宋_GB2312" w:cs="仿宋_GB2312"/>
        <w:b w:val="0"/>
        <w:i w:val="0"/>
        <w:strike w:val="0"/>
        <w:dstrike w:val="0"/>
        <w:color w:val="000000"/>
        <w:sz w:val="32"/>
        <w:szCs w:val="32"/>
        <w:u w:val="none" w:color="000000"/>
        <w:vertAlign w:val="baseline"/>
      </w:rPr>
    </w:lvl>
    <w:lvl w:ilvl="1" w:tentative="0">
      <w:start w:val="1"/>
      <w:numFmt w:val="lowerLetter"/>
      <w:lvlText w:val="%2"/>
      <w:lvlJc w:val="left"/>
      <w:pPr>
        <w:ind w:left="1721" w:firstLine="0"/>
      </w:pPr>
      <w:rPr>
        <w:rFonts w:ascii="仿宋_GB2312" w:hAnsi="仿宋_GB2312" w:eastAsia="仿宋_GB2312" w:cs="仿宋_GB2312"/>
        <w:b w:val="0"/>
        <w:i w:val="0"/>
        <w:strike w:val="0"/>
        <w:dstrike w:val="0"/>
        <w:color w:val="000000"/>
        <w:sz w:val="32"/>
        <w:szCs w:val="32"/>
        <w:u w:val="none" w:color="000000"/>
        <w:vertAlign w:val="baseline"/>
      </w:rPr>
    </w:lvl>
    <w:lvl w:ilvl="2" w:tentative="0">
      <w:start w:val="1"/>
      <w:numFmt w:val="lowerRoman"/>
      <w:lvlText w:val="%3"/>
      <w:lvlJc w:val="left"/>
      <w:pPr>
        <w:ind w:left="2441" w:firstLine="0"/>
      </w:pPr>
      <w:rPr>
        <w:rFonts w:ascii="仿宋_GB2312" w:hAnsi="仿宋_GB2312" w:eastAsia="仿宋_GB2312" w:cs="仿宋_GB2312"/>
        <w:b w:val="0"/>
        <w:i w:val="0"/>
        <w:strike w:val="0"/>
        <w:dstrike w:val="0"/>
        <w:color w:val="000000"/>
        <w:sz w:val="32"/>
        <w:szCs w:val="32"/>
        <w:u w:val="none" w:color="000000"/>
        <w:vertAlign w:val="baseline"/>
      </w:rPr>
    </w:lvl>
    <w:lvl w:ilvl="3" w:tentative="0">
      <w:start w:val="1"/>
      <w:numFmt w:val="decimal"/>
      <w:lvlText w:val="%4"/>
      <w:lvlJc w:val="left"/>
      <w:pPr>
        <w:ind w:left="3161" w:firstLine="0"/>
      </w:pPr>
      <w:rPr>
        <w:rFonts w:ascii="仿宋_GB2312" w:hAnsi="仿宋_GB2312" w:eastAsia="仿宋_GB2312" w:cs="仿宋_GB2312"/>
        <w:b w:val="0"/>
        <w:i w:val="0"/>
        <w:strike w:val="0"/>
        <w:dstrike w:val="0"/>
        <w:color w:val="000000"/>
        <w:sz w:val="32"/>
        <w:szCs w:val="32"/>
        <w:u w:val="none" w:color="000000"/>
        <w:vertAlign w:val="baseline"/>
      </w:rPr>
    </w:lvl>
    <w:lvl w:ilvl="4" w:tentative="0">
      <w:start w:val="1"/>
      <w:numFmt w:val="lowerLetter"/>
      <w:lvlText w:val="%5"/>
      <w:lvlJc w:val="left"/>
      <w:pPr>
        <w:ind w:left="3881" w:firstLine="0"/>
      </w:pPr>
      <w:rPr>
        <w:rFonts w:ascii="仿宋_GB2312" w:hAnsi="仿宋_GB2312" w:eastAsia="仿宋_GB2312" w:cs="仿宋_GB2312"/>
        <w:b w:val="0"/>
        <w:i w:val="0"/>
        <w:strike w:val="0"/>
        <w:dstrike w:val="0"/>
        <w:color w:val="000000"/>
        <w:sz w:val="32"/>
        <w:szCs w:val="32"/>
        <w:u w:val="none" w:color="000000"/>
        <w:vertAlign w:val="baseline"/>
      </w:rPr>
    </w:lvl>
    <w:lvl w:ilvl="5" w:tentative="0">
      <w:start w:val="1"/>
      <w:numFmt w:val="lowerRoman"/>
      <w:lvlText w:val="%6"/>
      <w:lvlJc w:val="left"/>
      <w:pPr>
        <w:ind w:left="4601" w:firstLine="0"/>
      </w:pPr>
      <w:rPr>
        <w:rFonts w:ascii="仿宋_GB2312" w:hAnsi="仿宋_GB2312" w:eastAsia="仿宋_GB2312" w:cs="仿宋_GB2312"/>
        <w:b w:val="0"/>
        <w:i w:val="0"/>
        <w:strike w:val="0"/>
        <w:dstrike w:val="0"/>
        <w:color w:val="000000"/>
        <w:sz w:val="32"/>
        <w:szCs w:val="32"/>
        <w:u w:val="none" w:color="000000"/>
        <w:vertAlign w:val="baseline"/>
      </w:rPr>
    </w:lvl>
    <w:lvl w:ilvl="6" w:tentative="0">
      <w:start w:val="1"/>
      <w:numFmt w:val="decimal"/>
      <w:lvlText w:val="%7"/>
      <w:lvlJc w:val="left"/>
      <w:pPr>
        <w:ind w:left="5321" w:firstLine="0"/>
      </w:pPr>
      <w:rPr>
        <w:rFonts w:ascii="仿宋_GB2312" w:hAnsi="仿宋_GB2312" w:eastAsia="仿宋_GB2312" w:cs="仿宋_GB2312"/>
        <w:b w:val="0"/>
        <w:i w:val="0"/>
        <w:strike w:val="0"/>
        <w:dstrike w:val="0"/>
        <w:color w:val="000000"/>
        <w:sz w:val="32"/>
        <w:szCs w:val="32"/>
        <w:u w:val="none" w:color="000000"/>
        <w:vertAlign w:val="baseline"/>
      </w:rPr>
    </w:lvl>
    <w:lvl w:ilvl="7" w:tentative="0">
      <w:start w:val="1"/>
      <w:numFmt w:val="lowerLetter"/>
      <w:lvlText w:val="%8"/>
      <w:lvlJc w:val="left"/>
      <w:pPr>
        <w:ind w:left="6041" w:firstLine="0"/>
      </w:pPr>
      <w:rPr>
        <w:rFonts w:ascii="仿宋_GB2312" w:hAnsi="仿宋_GB2312" w:eastAsia="仿宋_GB2312" w:cs="仿宋_GB2312"/>
        <w:b w:val="0"/>
        <w:i w:val="0"/>
        <w:strike w:val="0"/>
        <w:dstrike w:val="0"/>
        <w:color w:val="000000"/>
        <w:sz w:val="32"/>
        <w:szCs w:val="32"/>
        <w:u w:val="none" w:color="000000"/>
        <w:vertAlign w:val="baseline"/>
      </w:rPr>
    </w:lvl>
    <w:lvl w:ilvl="8" w:tentative="0">
      <w:start w:val="1"/>
      <w:numFmt w:val="lowerRoman"/>
      <w:lvlText w:val="%9"/>
      <w:lvlJc w:val="left"/>
      <w:pPr>
        <w:ind w:left="6761" w:firstLine="0"/>
      </w:pPr>
      <w:rPr>
        <w:rFonts w:ascii="仿宋_GB2312" w:hAnsi="仿宋_GB2312" w:eastAsia="仿宋_GB2312" w:cs="仿宋_GB2312"/>
        <w:b w:val="0"/>
        <w:i w:val="0"/>
        <w:strike w:val="0"/>
        <w:dstrike w:val="0"/>
        <w:color w:val="000000"/>
        <w:sz w:val="32"/>
        <w:szCs w:val="32"/>
        <w:u w:val="none" w:color="000000"/>
        <w:vertAlign w:val="baseline"/>
      </w:rPr>
    </w:lvl>
  </w:abstractNum>
  <w:num w:numId="1">
    <w:abstractNumId w:val="2"/>
  </w:num>
  <w:num w:numId="2">
    <w:abstractNumId w:val="0"/>
  </w:num>
  <w:num w:numId="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WMyOTA5YzIxNDIxNWFhMmQ5ZDViM2ZkNjAxNzE0M2UifQ=="/>
  </w:docVars>
  <w:rsids>
    <w:rsidRoot w:val="00172A27"/>
    <w:rsid w:val="00000CBF"/>
    <w:rsid w:val="0000181D"/>
    <w:rsid w:val="000034CD"/>
    <w:rsid w:val="00003B87"/>
    <w:rsid w:val="000106AF"/>
    <w:rsid w:val="00010F09"/>
    <w:rsid w:val="00010F57"/>
    <w:rsid w:val="00014729"/>
    <w:rsid w:val="000168E2"/>
    <w:rsid w:val="00016E30"/>
    <w:rsid w:val="0001778D"/>
    <w:rsid w:val="00023930"/>
    <w:rsid w:val="0002537D"/>
    <w:rsid w:val="000267C9"/>
    <w:rsid w:val="000316D6"/>
    <w:rsid w:val="00034C3D"/>
    <w:rsid w:val="00035935"/>
    <w:rsid w:val="00035BD9"/>
    <w:rsid w:val="00037650"/>
    <w:rsid w:val="000408B3"/>
    <w:rsid w:val="000409C6"/>
    <w:rsid w:val="00040A7B"/>
    <w:rsid w:val="0004437D"/>
    <w:rsid w:val="00044D5A"/>
    <w:rsid w:val="000517C8"/>
    <w:rsid w:val="00052722"/>
    <w:rsid w:val="00052AB3"/>
    <w:rsid w:val="000530B5"/>
    <w:rsid w:val="000547DF"/>
    <w:rsid w:val="0005634A"/>
    <w:rsid w:val="00056E21"/>
    <w:rsid w:val="00063642"/>
    <w:rsid w:val="00065474"/>
    <w:rsid w:val="00071596"/>
    <w:rsid w:val="00073EED"/>
    <w:rsid w:val="00080B1C"/>
    <w:rsid w:val="00082025"/>
    <w:rsid w:val="000843F5"/>
    <w:rsid w:val="00084B87"/>
    <w:rsid w:val="00084C61"/>
    <w:rsid w:val="00084EE5"/>
    <w:rsid w:val="00085C93"/>
    <w:rsid w:val="00087A5E"/>
    <w:rsid w:val="00090945"/>
    <w:rsid w:val="00094212"/>
    <w:rsid w:val="00094289"/>
    <w:rsid w:val="00094579"/>
    <w:rsid w:val="0009486F"/>
    <w:rsid w:val="00097AD5"/>
    <w:rsid w:val="00097E70"/>
    <w:rsid w:val="000A3463"/>
    <w:rsid w:val="000A3CBA"/>
    <w:rsid w:val="000B179A"/>
    <w:rsid w:val="000B19DD"/>
    <w:rsid w:val="000B271C"/>
    <w:rsid w:val="000B3090"/>
    <w:rsid w:val="000B395D"/>
    <w:rsid w:val="000B4C87"/>
    <w:rsid w:val="000B5E2F"/>
    <w:rsid w:val="000B75C9"/>
    <w:rsid w:val="000C2547"/>
    <w:rsid w:val="000C2657"/>
    <w:rsid w:val="000C3B4A"/>
    <w:rsid w:val="000C7570"/>
    <w:rsid w:val="000D1A18"/>
    <w:rsid w:val="000D4710"/>
    <w:rsid w:val="000E093A"/>
    <w:rsid w:val="000E0AF7"/>
    <w:rsid w:val="000E597B"/>
    <w:rsid w:val="000E63BF"/>
    <w:rsid w:val="000F0BD4"/>
    <w:rsid w:val="000F344F"/>
    <w:rsid w:val="000F6C2D"/>
    <w:rsid w:val="000F7468"/>
    <w:rsid w:val="000F746A"/>
    <w:rsid w:val="00102140"/>
    <w:rsid w:val="00106E16"/>
    <w:rsid w:val="001114EC"/>
    <w:rsid w:val="00112A96"/>
    <w:rsid w:val="001133DF"/>
    <w:rsid w:val="00114F9E"/>
    <w:rsid w:val="001151B8"/>
    <w:rsid w:val="00122854"/>
    <w:rsid w:val="00122B22"/>
    <w:rsid w:val="00123EEA"/>
    <w:rsid w:val="00126508"/>
    <w:rsid w:val="001329DF"/>
    <w:rsid w:val="001342A7"/>
    <w:rsid w:val="001357A3"/>
    <w:rsid w:val="00142E3E"/>
    <w:rsid w:val="001432CD"/>
    <w:rsid w:val="0014381D"/>
    <w:rsid w:val="0014464F"/>
    <w:rsid w:val="00152205"/>
    <w:rsid w:val="00153AFD"/>
    <w:rsid w:val="00155332"/>
    <w:rsid w:val="00155E13"/>
    <w:rsid w:val="00157214"/>
    <w:rsid w:val="001602D6"/>
    <w:rsid w:val="00163244"/>
    <w:rsid w:val="00163F67"/>
    <w:rsid w:val="00172A27"/>
    <w:rsid w:val="001735FD"/>
    <w:rsid w:val="001738CA"/>
    <w:rsid w:val="00175368"/>
    <w:rsid w:val="001802D6"/>
    <w:rsid w:val="00191536"/>
    <w:rsid w:val="00193879"/>
    <w:rsid w:val="001940E1"/>
    <w:rsid w:val="00196BA0"/>
    <w:rsid w:val="0019719A"/>
    <w:rsid w:val="001A02B5"/>
    <w:rsid w:val="001A1BDF"/>
    <w:rsid w:val="001A2F89"/>
    <w:rsid w:val="001A3158"/>
    <w:rsid w:val="001A3CE2"/>
    <w:rsid w:val="001A5241"/>
    <w:rsid w:val="001B012D"/>
    <w:rsid w:val="001B0DDF"/>
    <w:rsid w:val="001B1449"/>
    <w:rsid w:val="001B3621"/>
    <w:rsid w:val="001B4457"/>
    <w:rsid w:val="001B5368"/>
    <w:rsid w:val="001B5EC9"/>
    <w:rsid w:val="001B7FCD"/>
    <w:rsid w:val="001C0CDF"/>
    <w:rsid w:val="001C4010"/>
    <w:rsid w:val="001C6BF1"/>
    <w:rsid w:val="001D3C7E"/>
    <w:rsid w:val="001D6D0B"/>
    <w:rsid w:val="001D7958"/>
    <w:rsid w:val="001E0433"/>
    <w:rsid w:val="001E0815"/>
    <w:rsid w:val="001E3429"/>
    <w:rsid w:val="001E68D8"/>
    <w:rsid w:val="001E76DB"/>
    <w:rsid w:val="001F4C1E"/>
    <w:rsid w:val="001F6B7A"/>
    <w:rsid w:val="00200204"/>
    <w:rsid w:val="002015D3"/>
    <w:rsid w:val="002039F1"/>
    <w:rsid w:val="002044DF"/>
    <w:rsid w:val="002049F7"/>
    <w:rsid w:val="0021312E"/>
    <w:rsid w:val="0021383F"/>
    <w:rsid w:val="00214BEE"/>
    <w:rsid w:val="0021585B"/>
    <w:rsid w:val="0021600A"/>
    <w:rsid w:val="0021726C"/>
    <w:rsid w:val="00217770"/>
    <w:rsid w:val="00220C2A"/>
    <w:rsid w:val="00221E65"/>
    <w:rsid w:val="002240B1"/>
    <w:rsid w:val="0022415F"/>
    <w:rsid w:val="00224835"/>
    <w:rsid w:val="00224F3D"/>
    <w:rsid w:val="00225C23"/>
    <w:rsid w:val="00233D9B"/>
    <w:rsid w:val="00236FA6"/>
    <w:rsid w:val="00240094"/>
    <w:rsid w:val="00241B6B"/>
    <w:rsid w:val="002431E6"/>
    <w:rsid w:val="0024416D"/>
    <w:rsid w:val="00244B90"/>
    <w:rsid w:val="00245FFD"/>
    <w:rsid w:val="0025052F"/>
    <w:rsid w:val="0025133B"/>
    <w:rsid w:val="002519F2"/>
    <w:rsid w:val="00251E52"/>
    <w:rsid w:val="00252024"/>
    <w:rsid w:val="00252295"/>
    <w:rsid w:val="002604EC"/>
    <w:rsid w:val="0026390E"/>
    <w:rsid w:val="00266811"/>
    <w:rsid w:val="00266E55"/>
    <w:rsid w:val="002670EA"/>
    <w:rsid w:val="00270D49"/>
    <w:rsid w:val="002742F8"/>
    <w:rsid w:val="002748BD"/>
    <w:rsid w:val="00274A4D"/>
    <w:rsid w:val="00274E33"/>
    <w:rsid w:val="00286355"/>
    <w:rsid w:val="00286B1A"/>
    <w:rsid w:val="00287D92"/>
    <w:rsid w:val="00290958"/>
    <w:rsid w:val="00291FC4"/>
    <w:rsid w:val="002926AE"/>
    <w:rsid w:val="00293A42"/>
    <w:rsid w:val="00293F3B"/>
    <w:rsid w:val="00294D1F"/>
    <w:rsid w:val="002A1A3B"/>
    <w:rsid w:val="002A25F0"/>
    <w:rsid w:val="002A38DC"/>
    <w:rsid w:val="002A3F94"/>
    <w:rsid w:val="002A4CC2"/>
    <w:rsid w:val="002B0E96"/>
    <w:rsid w:val="002B21CC"/>
    <w:rsid w:val="002B3658"/>
    <w:rsid w:val="002B37C5"/>
    <w:rsid w:val="002B7E88"/>
    <w:rsid w:val="002C6612"/>
    <w:rsid w:val="002D028A"/>
    <w:rsid w:val="002D2D64"/>
    <w:rsid w:val="002D3180"/>
    <w:rsid w:val="002D4EA7"/>
    <w:rsid w:val="002D6124"/>
    <w:rsid w:val="002D6167"/>
    <w:rsid w:val="002D70B8"/>
    <w:rsid w:val="002D7791"/>
    <w:rsid w:val="002D7AEB"/>
    <w:rsid w:val="002D7FE5"/>
    <w:rsid w:val="002F0AEA"/>
    <w:rsid w:val="002F0CEB"/>
    <w:rsid w:val="002F1022"/>
    <w:rsid w:val="002F2712"/>
    <w:rsid w:val="002F73C2"/>
    <w:rsid w:val="002F7AA1"/>
    <w:rsid w:val="0030209D"/>
    <w:rsid w:val="00304A27"/>
    <w:rsid w:val="0030703E"/>
    <w:rsid w:val="00307477"/>
    <w:rsid w:val="003115CC"/>
    <w:rsid w:val="00313750"/>
    <w:rsid w:val="00316EA0"/>
    <w:rsid w:val="00321A3C"/>
    <w:rsid w:val="0033160F"/>
    <w:rsid w:val="00331DB0"/>
    <w:rsid w:val="003337F4"/>
    <w:rsid w:val="00334CE7"/>
    <w:rsid w:val="00335EEB"/>
    <w:rsid w:val="00337D32"/>
    <w:rsid w:val="003406D1"/>
    <w:rsid w:val="0034673B"/>
    <w:rsid w:val="00351751"/>
    <w:rsid w:val="00351CBC"/>
    <w:rsid w:val="00352172"/>
    <w:rsid w:val="00355342"/>
    <w:rsid w:val="00356692"/>
    <w:rsid w:val="00356F2E"/>
    <w:rsid w:val="003575C9"/>
    <w:rsid w:val="0036025D"/>
    <w:rsid w:val="00361339"/>
    <w:rsid w:val="003617B4"/>
    <w:rsid w:val="003631E0"/>
    <w:rsid w:val="003655C7"/>
    <w:rsid w:val="003666F6"/>
    <w:rsid w:val="00367F5C"/>
    <w:rsid w:val="00367FEB"/>
    <w:rsid w:val="00370C21"/>
    <w:rsid w:val="0037119D"/>
    <w:rsid w:val="00371460"/>
    <w:rsid w:val="00371E38"/>
    <w:rsid w:val="00374C99"/>
    <w:rsid w:val="00374EC2"/>
    <w:rsid w:val="00375717"/>
    <w:rsid w:val="00377F83"/>
    <w:rsid w:val="00385C9F"/>
    <w:rsid w:val="00385D9C"/>
    <w:rsid w:val="00386A78"/>
    <w:rsid w:val="00387B4F"/>
    <w:rsid w:val="00387FDC"/>
    <w:rsid w:val="003900E4"/>
    <w:rsid w:val="003908AD"/>
    <w:rsid w:val="003944BB"/>
    <w:rsid w:val="003945B5"/>
    <w:rsid w:val="00394D62"/>
    <w:rsid w:val="00395D0B"/>
    <w:rsid w:val="00397362"/>
    <w:rsid w:val="003A003A"/>
    <w:rsid w:val="003A1185"/>
    <w:rsid w:val="003A3E3C"/>
    <w:rsid w:val="003A4972"/>
    <w:rsid w:val="003B4A14"/>
    <w:rsid w:val="003B5570"/>
    <w:rsid w:val="003C2587"/>
    <w:rsid w:val="003C31AB"/>
    <w:rsid w:val="003C35CD"/>
    <w:rsid w:val="003C43EA"/>
    <w:rsid w:val="003C4F65"/>
    <w:rsid w:val="003C53D2"/>
    <w:rsid w:val="003C7866"/>
    <w:rsid w:val="003D0971"/>
    <w:rsid w:val="003D3C90"/>
    <w:rsid w:val="003D5CBF"/>
    <w:rsid w:val="003E02C3"/>
    <w:rsid w:val="003E18C9"/>
    <w:rsid w:val="003F567D"/>
    <w:rsid w:val="003F7782"/>
    <w:rsid w:val="00400588"/>
    <w:rsid w:val="00401C6E"/>
    <w:rsid w:val="00406AC9"/>
    <w:rsid w:val="0041073B"/>
    <w:rsid w:val="0041167C"/>
    <w:rsid w:val="004138A8"/>
    <w:rsid w:val="0041426C"/>
    <w:rsid w:val="00416FDF"/>
    <w:rsid w:val="00417B37"/>
    <w:rsid w:val="0042054B"/>
    <w:rsid w:val="00420D95"/>
    <w:rsid w:val="004253B8"/>
    <w:rsid w:val="00425ED7"/>
    <w:rsid w:val="00426740"/>
    <w:rsid w:val="00427C2F"/>
    <w:rsid w:val="0043128C"/>
    <w:rsid w:val="00434D44"/>
    <w:rsid w:val="0044228B"/>
    <w:rsid w:val="00442688"/>
    <w:rsid w:val="00442AED"/>
    <w:rsid w:val="00442D5D"/>
    <w:rsid w:val="00444B82"/>
    <w:rsid w:val="004459F0"/>
    <w:rsid w:val="00454633"/>
    <w:rsid w:val="00454737"/>
    <w:rsid w:val="00455BF8"/>
    <w:rsid w:val="00456DB3"/>
    <w:rsid w:val="00456EAD"/>
    <w:rsid w:val="004604FE"/>
    <w:rsid w:val="004611A8"/>
    <w:rsid w:val="00461737"/>
    <w:rsid w:val="00467117"/>
    <w:rsid w:val="00467D70"/>
    <w:rsid w:val="00467DC5"/>
    <w:rsid w:val="004702DB"/>
    <w:rsid w:val="00473D33"/>
    <w:rsid w:val="004769DB"/>
    <w:rsid w:val="00481EB5"/>
    <w:rsid w:val="00482B89"/>
    <w:rsid w:val="004833E7"/>
    <w:rsid w:val="00483401"/>
    <w:rsid w:val="00484250"/>
    <w:rsid w:val="00491B17"/>
    <w:rsid w:val="004931F8"/>
    <w:rsid w:val="00494023"/>
    <w:rsid w:val="004967F7"/>
    <w:rsid w:val="00497241"/>
    <w:rsid w:val="004A1F81"/>
    <w:rsid w:val="004A20B6"/>
    <w:rsid w:val="004A2789"/>
    <w:rsid w:val="004A2DF3"/>
    <w:rsid w:val="004A2FCA"/>
    <w:rsid w:val="004A3875"/>
    <w:rsid w:val="004A7AF4"/>
    <w:rsid w:val="004B048E"/>
    <w:rsid w:val="004B143B"/>
    <w:rsid w:val="004B174D"/>
    <w:rsid w:val="004B5933"/>
    <w:rsid w:val="004C500C"/>
    <w:rsid w:val="004C5FFC"/>
    <w:rsid w:val="004C74F7"/>
    <w:rsid w:val="004D1253"/>
    <w:rsid w:val="004D158E"/>
    <w:rsid w:val="004D281F"/>
    <w:rsid w:val="004D2861"/>
    <w:rsid w:val="004D5666"/>
    <w:rsid w:val="004D6BB1"/>
    <w:rsid w:val="004D7A03"/>
    <w:rsid w:val="004D7DBF"/>
    <w:rsid w:val="004E0454"/>
    <w:rsid w:val="004E06ED"/>
    <w:rsid w:val="004E1457"/>
    <w:rsid w:val="004E4A43"/>
    <w:rsid w:val="004E4BBF"/>
    <w:rsid w:val="004F2CDD"/>
    <w:rsid w:val="004F4D87"/>
    <w:rsid w:val="004F55CD"/>
    <w:rsid w:val="004F58A0"/>
    <w:rsid w:val="004F5F12"/>
    <w:rsid w:val="004F6692"/>
    <w:rsid w:val="004F77B0"/>
    <w:rsid w:val="00501EEF"/>
    <w:rsid w:val="00502A31"/>
    <w:rsid w:val="00505021"/>
    <w:rsid w:val="00506790"/>
    <w:rsid w:val="00510EFF"/>
    <w:rsid w:val="00511B53"/>
    <w:rsid w:val="005146EE"/>
    <w:rsid w:val="005160E3"/>
    <w:rsid w:val="005161E3"/>
    <w:rsid w:val="00516B40"/>
    <w:rsid w:val="005203F0"/>
    <w:rsid w:val="00521E09"/>
    <w:rsid w:val="00525EB0"/>
    <w:rsid w:val="00535551"/>
    <w:rsid w:val="0053664B"/>
    <w:rsid w:val="005372DC"/>
    <w:rsid w:val="00540718"/>
    <w:rsid w:val="00540B71"/>
    <w:rsid w:val="00541F46"/>
    <w:rsid w:val="0054292B"/>
    <w:rsid w:val="005440BF"/>
    <w:rsid w:val="0054661A"/>
    <w:rsid w:val="00552574"/>
    <w:rsid w:val="00554DCA"/>
    <w:rsid w:val="00556C59"/>
    <w:rsid w:val="00557E0E"/>
    <w:rsid w:val="005604D0"/>
    <w:rsid w:val="005614CC"/>
    <w:rsid w:val="005615F3"/>
    <w:rsid w:val="0056225D"/>
    <w:rsid w:val="00562E92"/>
    <w:rsid w:val="005639FA"/>
    <w:rsid w:val="0056420B"/>
    <w:rsid w:val="00564ABA"/>
    <w:rsid w:val="005653F5"/>
    <w:rsid w:val="00571BB6"/>
    <w:rsid w:val="00572A14"/>
    <w:rsid w:val="0057572A"/>
    <w:rsid w:val="00576A02"/>
    <w:rsid w:val="0058236D"/>
    <w:rsid w:val="00582BA2"/>
    <w:rsid w:val="00583D19"/>
    <w:rsid w:val="0058789A"/>
    <w:rsid w:val="00593F60"/>
    <w:rsid w:val="00594E72"/>
    <w:rsid w:val="00594E89"/>
    <w:rsid w:val="00595732"/>
    <w:rsid w:val="005957A8"/>
    <w:rsid w:val="005A0020"/>
    <w:rsid w:val="005A0592"/>
    <w:rsid w:val="005A09E0"/>
    <w:rsid w:val="005A1BC7"/>
    <w:rsid w:val="005A7383"/>
    <w:rsid w:val="005B155E"/>
    <w:rsid w:val="005B1651"/>
    <w:rsid w:val="005B1D05"/>
    <w:rsid w:val="005B544A"/>
    <w:rsid w:val="005B570B"/>
    <w:rsid w:val="005B5ECD"/>
    <w:rsid w:val="005C5D3B"/>
    <w:rsid w:val="005C773C"/>
    <w:rsid w:val="005D2118"/>
    <w:rsid w:val="005D476C"/>
    <w:rsid w:val="005D5AEF"/>
    <w:rsid w:val="005E031D"/>
    <w:rsid w:val="005E2226"/>
    <w:rsid w:val="005F007E"/>
    <w:rsid w:val="005F22D5"/>
    <w:rsid w:val="005F2659"/>
    <w:rsid w:val="005F3198"/>
    <w:rsid w:val="005F5238"/>
    <w:rsid w:val="005F5B86"/>
    <w:rsid w:val="00603A8C"/>
    <w:rsid w:val="00607135"/>
    <w:rsid w:val="00610D76"/>
    <w:rsid w:val="0061425B"/>
    <w:rsid w:val="00615CCA"/>
    <w:rsid w:val="00616504"/>
    <w:rsid w:val="00616551"/>
    <w:rsid w:val="00617C3C"/>
    <w:rsid w:val="00623384"/>
    <w:rsid w:val="006236AD"/>
    <w:rsid w:val="0063195F"/>
    <w:rsid w:val="00632944"/>
    <w:rsid w:val="006355A9"/>
    <w:rsid w:val="00637A4F"/>
    <w:rsid w:val="00641CD5"/>
    <w:rsid w:val="00642BB6"/>
    <w:rsid w:val="00644031"/>
    <w:rsid w:val="00644FBC"/>
    <w:rsid w:val="00647134"/>
    <w:rsid w:val="00652DB9"/>
    <w:rsid w:val="0065703E"/>
    <w:rsid w:val="006575E7"/>
    <w:rsid w:val="00657673"/>
    <w:rsid w:val="00661E32"/>
    <w:rsid w:val="00662CCA"/>
    <w:rsid w:val="00662EC6"/>
    <w:rsid w:val="00662F26"/>
    <w:rsid w:val="00665B56"/>
    <w:rsid w:val="006720DF"/>
    <w:rsid w:val="00672743"/>
    <w:rsid w:val="00681E9C"/>
    <w:rsid w:val="00682B2E"/>
    <w:rsid w:val="00683341"/>
    <w:rsid w:val="006853C1"/>
    <w:rsid w:val="0068695A"/>
    <w:rsid w:val="00686C54"/>
    <w:rsid w:val="00687D34"/>
    <w:rsid w:val="00691B56"/>
    <w:rsid w:val="00691CC7"/>
    <w:rsid w:val="00691D88"/>
    <w:rsid w:val="00693C36"/>
    <w:rsid w:val="0069508B"/>
    <w:rsid w:val="00695904"/>
    <w:rsid w:val="006966EC"/>
    <w:rsid w:val="0069730F"/>
    <w:rsid w:val="00697930"/>
    <w:rsid w:val="006A0A1B"/>
    <w:rsid w:val="006A1B40"/>
    <w:rsid w:val="006A29F4"/>
    <w:rsid w:val="006A33FD"/>
    <w:rsid w:val="006A4D49"/>
    <w:rsid w:val="006A5098"/>
    <w:rsid w:val="006A623D"/>
    <w:rsid w:val="006B1149"/>
    <w:rsid w:val="006B1F4E"/>
    <w:rsid w:val="006B35D8"/>
    <w:rsid w:val="006B5EC7"/>
    <w:rsid w:val="006B6C41"/>
    <w:rsid w:val="006C0F17"/>
    <w:rsid w:val="006C3341"/>
    <w:rsid w:val="006C3359"/>
    <w:rsid w:val="006C4A23"/>
    <w:rsid w:val="006C5697"/>
    <w:rsid w:val="006C6FF2"/>
    <w:rsid w:val="006C79FA"/>
    <w:rsid w:val="006C7ECE"/>
    <w:rsid w:val="006D10E1"/>
    <w:rsid w:val="006D3BB4"/>
    <w:rsid w:val="006D4EAB"/>
    <w:rsid w:val="006F04BC"/>
    <w:rsid w:val="006F520F"/>
    <w:rsid w:val="00700A16"/>
    <w:rsid w:val="00701E0C"/>
    <w:rsid w:val="0070236E"/>
    <w:rsid w:val="00702E1F"/>
    <w:rsid w:val="00705D96"/>
    <w:rsid w:val="00706BD6"/>
    <w:rsid w:val="00710B15"/>
    <w:rsid w:val="00710DBC"/>
    <w:rsid w:val="00710F2F"/>
    <w:rsid w:val="00711981"/>
    <w:rsid w:val="00712513"/>
    <w:rsid w:val="00714FCB"/>
    <w:rsid w:val="00716714"/>
    <w:rsid w:val="00717855"/>
    <w:rsid w:val="007208BC"/>
    <w:rsid w:val="007223AD"/>
    <w:rsid w:val="0072313B"/>
    <w:rsid w:val="0073016A"/>
    <w:rsid w:val="007319CE"/>
    <w:rsid w:val="0073502E"/>
    <w:rsid w:val="00735453"/>
    <w:rsid w:val="0074153A"/>
    <w:rsid w:val="00741A58"/>
    <w:rsid w:val="007438FA"/>
    <w:rsid w:val="007444F9"/>
    <w:rsid w:val="00745662"/>
    <w:rsid w:val="00746BB0"/>
    <w:rsid w:val="007500F5"/>
    <w:rsid w:val="007503B4"/>
    <w:rsid w:val="00751B12"/>
    <w:rsid w:val="007525B4"/>
    <w:rsid w:val="0075361E"/>
    <w:rsid w:val="00755B39"/>
    <w:rsid w:val="00756505"/>
    <w:rsid w:val="007602DD"/>
    <w:rsid w:val="00760CD7"/>
    <w:rsid w:val="0076688E"/>
    <w:rsid w:val="007717DC"/>
    <w:rsid w:val="007720CC"/>
    <w:rsid w:val="0077226B"/>
    <w:rsid w:val="00773DB6"/>
    <w:rsid w:val="0077514A"/>
    <w:rsid w:val="00781279"/>
    <w:rsid w:val="00783AFE"/>
    <w:rsid w:val="007904FF"/>
    <w:rsid w:val="007925EB"/>
    <w:rsid w:val="00796798"/>
    <w:rsid w:val="00797B28"/>
    <w:rsid w:val="007A038A"/>
    <w:rsid w:val="007A1E1B"/>
    <w:rsid w:val="007A23C5"/>
    <w:rsid w:val="007A3D48"/>
    <w:rsid w:val="007A5961"/>
    <w:rsid w:val="007A62AF"/>
    <w:rsid w:val="007A6303"/>
    <w:rsid w:val="007A73B9"/>
    <w:rsid w:val="007B0811"/>
    <w:rsid w:val="007B12CC"/>
    <w:rsid w:val="007B31EB"/>
    <w:rsid w:val="007B425E"/>
    <w:rsid w:val="007C1D53"/>
    <w:rsid w:val="007C22F2"/>
    <w:rsid w:val="007C3D31"/>
    <w:rsid w:val="007C4FA1"/>
    <w:rsid w:val="007D2F2B"/>
    <w:rsid w:val="007D48A4"/>
    <w:rsid w:val="007D719A"/>
    <w:rsid w:val="007E11AF"/>
    <w:rsid w:val="007E1A50"/>
    <w:rsid w:val="007E36AC"/>
    <w:rsid w:val="007E4B97"/>
    <w:rsid w:val="007E5353"/>
    <w:rsid w:val="007E55B7"/>
    <w:rsid w:val="007E6392"/>
    <w:rsid w:val="007F42D9"/>
    <w:rsid w:val="007F5799"/>
    <w:rsid w:val="007F5BF8"/>
    <w:rsid w:val="007F7B66"/>
    <w:rsid w:val="00801DE2"/>
    <w:rsid w:val="00802AAD"/>
    <w:rsid w:val="008038C9"/>
    <w:rsid w:val="0080646E"/>
    <w:rsid w:val="00806C2A"/>
    <w:rsid w:val="008077DA"/>
    <w:rsid w:val="008141B6"/>
    <w:rsid w:val="008153A1"/>
    <w:rsid w:val="00825BFE"/>
    <w:rsid w:val="00825C8F"/>
    <w:rsid w:val="00826B5E"/>
    <w:rsid w:val="00831380"/>
    <w:rsid w:val="00831843"/>
    <w:rsid w:val="00832D6F"/>
    <w:rsid w:val="008330BB"/>
    <w:rsid w:val="00833CAD"/>
    <w:rsid w:val="008406FC"/>
    <w:rsid w:val="00840AA3"/>
    <w:rsid w:val="008410E6"/>
    <w:rsid w:val="00841318"/>
    <w:rsid w:val="00841E77"/>
    <w:rsid w:val="008421E5"/>
    <w:rsid w:val="00845E45"/>
    <w:rsid w:val="008512E3"/>
    <w:rsid w:val="00851C1E"/>
    <w:rsid w:val="00853166"/>
    <w:rsid w:val="008545A3"/>
    <w:rsid w:val="00856CD9"/>
    <w:rsid w:val="00862F0E"/>
    <w:rsid w:val="00863E6B"/>
    <w:rsid w:val="008655F8"/>
    <w:rsid w:val="00867DAD"/>
    <w:rsid w:val="00867EAE"/>
    <w:rsid w:val="00870A99"/>
    <w:rsid w:val="00871458"/>
    <w:rsid w:val="00872CB6"/>
    <w:rsid w:val="00874F21"/>
    <w:rsid w:val="00882D02"/>
    <w:rsid w:val="00883213"/>
    <w:rsid w:val="0088340D"/>
    <w:rsid w:val="00884A1B"/>
    <w:rsid w:val="008923A4"/>
    <w:rsid w:val="008927E0"/>
    <w:rsid w:val="00893556"/>
    <w:rsid w:val="00893B88"/>
    <w:rsid w:val="008953C4"/>
    <w:rsid w:val="008A02F3"/>
    <w:rsid w:val="008A4193"/>
    <w:rsid w:val="008A4440"/>
    <w:rsid w:val="008A58B3"/>
    <w:rsid w:val="008B024E"/>
    <w:rsid w:val="008B14E4"/>
    <w:rsid w:val="008B2C45"/>
    <w:rsid w:val="008B4190"/>
    <w:rsid w:val="008C0361"/>
    <w:rsid w:val="008C2670"/>
    <w:rsid w:val="008C6831"/>
    <w:rsid w:val="008C736D"/>
    <w:rsid w:val="008D30DD"/>
    <w:rsid w:val="008D35B6"/>
    <w:rsid w:val="008D36BB"/>
    <w:rsid w:val="008D5D5A"/>
    <w:rsid w:val="008D63C9"/>
    <w:rsid w:val="008D77B0"/>
    <w:rsid w:val="008E06A1"/>
    <w:rsid w:val="008E1673"/>
    <w:rsid w:val="008E6D68"/>
    <w:rsid w:val="008F4555"/>
    <w:rsid w:val="00900431"/>
    <w:rsid w:val="00902193"/>
    <w:rsid w:val="0090328C"/>
    <w:rsid w:val="00910123"/>
    <w:rsid w:val="00912961"/>
    <w:rsid w:val="00913386"/>
    <w:rsid w:val="00913F71"/>
    <w:rsid w:val="00914563"/>
    <w:rsid w:val="00916D35"/>
    <w:rsid w:val="00921822"/>
    <w:rsid w:val="00921960"/>
    <w:rsid w:val="0092196F"/>
    <w:rsid w:val="00923F6C"/>
    <w:rsid w:val="00925D28"/>
    <w:rsid w:val="00927B48"/>
    <w:rsid w:val="00931166"/>
    <w:rsid w:val="0093340A"/>
    <w:rsid w:val="00933955"/>
    <w:rsid w:val="00935A11"/>
    <w:rsid w:val="00936518"/>
    <w:rsid w:val="00937032"/>
    <w:rsid w:val="00937C98"/>
    <w:rsid w:val="0094258F"/>
    <w:rsid w:val="0094661D"/>
    <w:rsid w:val="009469B5"/>
    <w:rsid w:val="0095122D"/>
    <w:rsid w:val="00952194"/>
    <w:rsid w:val="00955087"/>
    <w:rsid w:val="0095730F"/>
    <w:rsid w:val="0096060D"/>
    <w:rsid w:val="00961C95"/>
    <w:rsid w:val="00962A5F"/>
    <w:rsid w:val="00963B0B"/>
    <w:rsid w:val="0096467C"/>
    <w:rsid w:val="00965969"/>
    <w:rsid w:val="00965DB7"/>
    <w:rsid w:val="009667C2"/>
    <w:rsid w:val="00967F39"/>
    <w:rsid w:val="00970038"/>
    <w:rsid w:val="00971D84"/>
    <w:rsid w:val="0097237D"/>
    <w:rsid w:val="009740A2"/>
    <w:rsid w:val="00976F17"/>
    <w:rsid w:val="00981972"/>
    <w:rsid w:val="0098245F"/>
    <w:rsid w:val="009855CA"/>
    <w:rsid w:val="00990F07"/>
    <w:rsid w:val="009932D0"/>
    <w:rsid w:val="00996DA3"/>
    <w:rsid w:val="009A2F0D"/>
    <w:rsid w:val="009A5F8F"/>
    <w:rsid w:val="009B0A61"/>
    <w:rsid w:val="009B109A"/>
    <w:rsid w:val="009B4531"/>
    <w:rsid w:val="009B5F75"/>
    <w:rsid w:val="009B6519"/>
    <w:rsid w:val="009B6C65"/>
    <w:rsid w:val="009B7836"/>
    <w:rsid w:val="009C164A"/>
    <w:rsid w:val="009D0A18"/>
    <w:rsid w:val="009D17E4"/>
    <w:rsid w:val="009D5A93"/>
    <w:rsid w:val="009D5BA5"/>
    <w:rsid w:val="009D64E2"/>
    <w:rsid w:val="009D6BF5"/>
    <w:rsid w:val="009E0276"/>
    <w:rsid w:val="009E25B6"/>
    <w:rsid w:val="009E2A29"/>
    <w:rsid w:val="009E5F33"/>
    <w:rsid w:val="009E6791"/>
    <w:rsid w:val="009E7510"/>
    <w:rsid w:val="009F02C1"/>
    <w:rsid w:val="009F0BD2"/>
    <w:rsid w:val="009F1452"/>
    <w:rsid w:val="009F1BF8"/>
    <w:rsid w:val="009F1C9C"/>
    <w:rsid w:val="009F250C"/>
    <w:rsid w:val="009F275E"/>
    <w:rsid w:val="009F434C"/>
    <w:rsid w:val="009F7D34"/>
    <w:rsid w:val="00A00E7B"/>
    <w:rsid w:val="00A02520"/>
    <w:rsid w:val="00A02BAA"/>
    <w:rsid w:val="00A107BD"/>
    <w:rsid w:val="00A10D56"/>
    <w:rsid w:val="00A1218E"/>
    <w:rsid w:val="00A12C39"/>
    <w:rsid w:val="00A13A13"/>
    <w:rsid w:val="00A15326"/>
    <w:rsid w:val="00A16CEC"/>
    <w:rsid w:val="00A26C91"/>
    <w:rsid w:val="00A26E9C"/>
    <w:rsid w:val="00A318E2"/>
    <w:rsid w:val="00A33F58"/>
    <w:rsid w:val="00A36055"/>
    <w:rsid w:val="00A40BC8"/>
    <w:rsid w:val="00A4369D"/>
    <w:rsid w:val="00A43B19"/>
    <w:rsid w:val="00A4472E"/>
    <w:rsid w:val="00A46D31"/>
    <w:rsid w:val="00A47EA4"/>
    <w:rsid w:val="00A5036F"/>
    <w:rsid w:val="00A503E5"/>
    <w:rsid w:val="00A509FD"/>
    <w:rsid w:val="00A53FF0"/>
    <w:rsid w:val="00A54456"/>
    <w:rsid w:val="00A5471E"/>
    <w:rsid w:val="00A551D7"/>
    <w:rsid w:val="00A55B27"/>
    <w:rsid w:val="00A55BDA"/>
    <w:rsid w:val="00A60C43"/>
    <w:rsid w:val="00A64596"/>
    <w:rsid w:val="00A67BE2"/>
    <w:rsid w:val="00A74820"/>
    <w:rsid w:val="00A76E41"/>
    <w:rsid w:val="00A776BC"/>
    <w:rsid w:val="00A8105F"/>
    <w:rsid w:val="00A81465"/>
    <w:rsid w:val="00A833A7"/>
    <w:rsid w:val="00A86AB0"/>
    <w:rsid w:val="00A87262"/>
    <w:rsid w:val="00A90F79"/>
    <w:rsid w:val="00A9323F"/>
    <w:rsid w:val="00A93929"/>
    <w:rsid w:val="00A9509B"/>
    <w:rsid w:val="00A963E4"/>
    <w:rsid w:val="00A97C90"/>
    <w:rsid w:val="00AA15A6"/>
    <w:rsid w:val="00AA182F"/>
    <w:rsid w:val="00AA3F58"/>
    <w:rsid w:val="00AA4870"/>
    <w:rsid w:val="00AA6B5D"/>
    <w:rsid w:val="00AB1D83"/>
    <w:rsid w:val="00AB5668"/>
    <w:rsid w:val="00AB587E"/>
    <w:rsid w:val="00AB6697"/>
    <w:rsid w:val="00AC0CA3"/>
    <w:rsid w:val="00AC24D8"/>
    <w:rsid w:val="00AC2F0E"/>
    <w:rsid w:val="00AC6329"/>
    <w:rsid w:val="00AC6B22"/>
    <w:rsid w:val="00AD13AD"/>
    <w:rsid w:val="00AE08D3"/>
    <w:rsid w:val="00AE225B"/>
    <w:rsid w:val="00AE46A4"/>
    <w:rsid w:val="00AE535D"/>
    <w:rsid w:val="00AE69CE"/>
    <w:rsid w:val="00AF08E9"/>
    <w:rsid w:val="00AF0B26"/>
    <w:rsid w:val="00AF0EBF"/>
    <w:rsid w:val="00AF2165"/>
    <w:rsid w:val="00AF6826"/>
    <w:rsid w:val="00B00877"/>
    <w:rsid w:val="00B02697"/>
    <w:rsid w:val="00B044B4"/>
    <w:rsid w:val="00B0719C"/>
    <w:rsid w:val="00B14CC8"/>
    <w:rsid w:val="00B17240"/>
    <w:rsid w:val="00B234C1"/>
    <w:rsid w:val="00B248CE"/>
    <w:rsid w:val="00B24E37"/>
    <w:rsid w:val="00B25020"/>
    <w:rsid w:val="00B256C8"/>
    <w:rsid w:val="00B256F6"/>
    <w:rsid w:val="00B272EE"/>
    <w:rsid w:val="00B302A1"/>
    <w:rsid w:val="00B31FCC"/>
    <w:rsid w:val="00B3557A"/>
    <w:rsid w:val="00B3740D"/>
    <w:rsid w:val="00B3776F"/>
    <w:rsid w:val="00B418AB"/>
    <w:rsid w:val="00B41ACE"/>
    <w:rsid w:val="00B4291F"/>
    <w:rsid w:val="00B42B7C"/>
    <w:rsid w:val="00B42F55"/>
    <w:rsid w:val="00B46CA3"/>
    <w:rsid w:val="00B5591E"/>
    <w:rsid w:val="00B565C7"/>
    <w:rsid w:val="00B56F47"/>
    <w:rsid w:val="00B608C5"/>
    <w:rsid w:val="00B61CEF"/>
    <w:rsid w:val="00B657D7"/>
    <w:rsid w:val="00B659E9"/>
    <w:rsid w:val="00B677D1"/>
    <w:rsid w:val="00B7130A"/>
    <w:rsid w:val="00B71CA8"/>
    <w:rsid w:val="00B753C1"/>
    <w:rsid w:val="00B82CCF"/>
    <w:rsid w:val="00B83052"/>
    <w:rsid w:val="00B8677C"/>
    <w:rsid w:val="00B90FC3"/>
    <w:rsid w:val="00B92387"/>
    <w:rsid w:val="00B9395A"/>
    <w:rsid w:val="00B93A38"/>
    <w:rsid w:val="00B95280"/>
    <w:rsid w:val="00B9638C"/>
    <w:rsid w:val="00BA5133"/>
    <w:rsid w:val="00BA5885"/>
    <w:rsid w:val="00BA59F6"/>
    <w:rsid w:val="00BA6774"/>
    <w:rsid w:val="00BB0763"/>
    <w:rsid w:val="00BB0E01"/>
    <w:rsid w:val="00BB1CB2"/>
    <w:rsid w:val="00BB21F1"/>
    <w:rsid w:val="00BB4264"/>
    <w:rsid w:val="00BB4B2D"/>
    <w:rsid w:val="00BB6099"/>
    <w:rsid w:val="00BB6BDE"/>
    <w:rsid w:val="00BB702A"/>
    <w:rsid w:val="00BC0FBE"/>
    <w:rsid w:val="00BC1D98"/>
    <w:rsid w:val="00BC3F50"/>
    <w:rsid w:val="00BD324F"/>
    <w:rsid w:val="00BD3603"/>
    <w:rsid w:val="00BD702A"/>
    <w:rsid w:val="00BE0161"/>
    <w:rsid w:val="00BE1766"/>
    <w:rsid w:val="00BE3275"/>
    <w:rsid w:val="00BE36C6"/>
    <w:rsid w:val="00BE5F84"/>
    <w:rsid w:val="00BF0DFB"/>
    <w:rsid w:val="00BF14CF"/>
    <w:rsid w:val="00BF48F2"/>
    <w:rsid w:val="00BF648F"/>
    <w:rsid w:val="00C00A12"/>
    <w:rsid w:val="00C01354"/>
    <w:rsid w:val="00C02E08"/>
    <w:rsid w:val="00C04FEC"/>
    <w:rsid w:val="00C05052"/>
    <w:rsid w:val="00C0544C"/>
    <w:rsid w:val="00C064AA"/>
    <w:rsid w:val="00C10643"/>
    <w:rsid w:val="00C10E7F"/>
    <w:rsid w:val="00C15609"/>
    <w:rsid w:val="00C16EAB"/>
    <w:rsid w:val="00C23757"/>
    <w:rsid w:val="00C2432E"/>
    <w:rsid w:val="00C25332"/>
    <w:rsid w:val="00C25933"/>
    <w:rsid w:val="00C27C2B"/>
    <w:rsid w:val="00C3318C"/>
    <w:rsid w:val="00C33CCE"/>
    <w:rsid w:val="00C34F6D"/>
    <w:rsid w:val="00C3720A"/>
    <w:rsid w:val="00C41DCA"/>
    <w:rsid w:val="00C45720"/>
    <w:rsid w:val="00C51934"/>
    <w:rsid w:val="00C549B2"/>
    <w:rsid w:val="00C55715"/>
    <w:rsid w:val="00C56FA8"/>
    <w:rsid w:val="00C61C00"/>
    <w:rsid w:val="00C62802"/>
    <w:rsid w:val="00C6346F"/>
    <w:rsid w:val="00C665BF"/>
    <w:rsid w:val="00C679E4"/>
    <w:rsid w:val="00C73DB2"/>
    <w:rsid w:val="00C75067"/>
    <w:rsid w:val="00C802CF"/>
    <w:rsid w:val="00C830BD"/>
    <w:rsid w:val="00C84E19"/>
    <w:rsid w:val="00C85194"/>
    <w:rsid w:val="00C95F53"/>
    <w:rsid w:val="00C97F3E"/>
    <w:rsid w:val="00CA00FB"/>
    <w:rsid w:val="00CA0715"/>
    <w:rsid w:val="00CA11BC"/>
    <w:rsid w:val="00CA1CD2"/>
    <w:rsid w:val="00CA39D0"/>
    <w:rsid w:val="00CA48E6"/>
    <w:rsid w:val="00CA4E7E"/>
    <w:rsid w:val="00CA67C6"/>
    <w:rsid w:val="00CB14B8"/>
    <w:rsid w:val="00CB262F"/>
    <w:rsid w:val="00CB39DC"/>
    <w:rsid w:val="00CB4939"/>
    <w:rsid w:val="00CB5977"/>
    <w:rsid w:val="00CB5E07"/>
    <w:rsid w:val="00CB5FDB"/>
    <w:rsid w:val="00CC14E2"/>
    <w:rsid w:val="00CC36CA"/>
    <w:rsid w:val="00CC6EF3"/>
    <w:rsid w:val="00CC7A2E"/>
    <w:rsid w:val="00CC7AEB"/>
    <w:rsid w:val="00CD27CB"/>
    <w:rsid w:val="00CD478B"/>
    <w:rsid w:val="00CD6BE5"/>
    <w:rsid w:val="00CD77F5"/>
    <w:rsid w:val="00CD7CD7"/>
    <w:rsid w:val="00CD7DD7"/>
    <w:rsid w:val="00CE0245"/>
    <w:rsid w:val="00CE47BF"/>
    <w:rsid w:val="00CE76D0"/>
    <w:rsid w:val="00CF43D3"/>
    <w:rsid w:val="00CF4997"/>
    <w:rsid w:val="00CF7256"/>
    <w:rsid w:val="00CF75BB"/>
    <w:rsid w:val="00D03579"/>
    <w:rsid w:val="00D04FCE"/>
    <w:rsid w:val="00D11D9E"/>
    <w:rsid w:val="00D13247"/>
    <w:rsid w:val="00D1341B"/>
    <w:rsid w:val="00D13E31"/>
    <w:rsid w:val="00D16614"/>
    <w:rsid w:val="00D2127E"/>
    <w:rsid w:val="00D228D1"/>
    <w:rsid w:val="00D22DFA"/>
    <w:rsid w:val="00D24B8C"/>
    <w:rsid w:val="00D26AA8"/>
    <w:rsid w:val="00D27019"/>
    <w:rsid w:val="00D315DA"/>
    <w:rsid w:val="00D3317F"/>
    <w:rsid w:val="00D360BE"/>
    <w:rsid w:val="00D40BC5"/>
    <w:rsid w:val="00D40F06"/>
    <w:rsid w:val="00D44057"/>
    <w:rsid w:val="00D44B67"/>
    <w:rsid w:val="00D44E81"/>
    <w:rsid w:val="00D4599E"/>
    <w:rsid w:val="00D47576"/>
    <w:rsid w:val="00D479E8"/>
    <w:rsid w:val="00D542F2"/>
    <w:rsid w:val="00D5493C"/>
    <w:rsid w:val="00D56F9B"/>
    <w:rsid w:val="00D61162"/>
    <w:rsid w:val="00D61BD1"/>
    <w:rsid w:val="00D62DFA"/>
    <w:rsid w:val="00D631BE"/>
    <w:rsid w:val="00D635C4"/>
    <w:rsid w:val="00D65D0C"/>
    <w:rsid w:val="00D66AE2"/>
    <w:rsid w:val="00D66B0F"/>
    <w:rsid w:val="00D671EA"/>
    <w:rsid w:val="00D72C3B"/>
    <w:rsid w:val="00D74180"/>
    <w:rsid w:val="00D744B4"/>
    <w:rsid w:val="00D7549F"/>
    <w:rsid w:val="00D77416"/>
    <w:rsid w:val="00D774D4"/>
    <w:rsid w:val="00D7757D"/>
    <w:rsid w:val="00D8023F"/>
    <w:rsid w:val="00D80950"/>
    <w:rsid w:val="00D8348B"/>
    <w:rsid w:val="00D868F2"/>
    <w:rsid w:val="00D86FDE"/>
    <w:rsid w:val="00D8757C"/>
    <w:rsid w:val="00D908D3"/>
    <w:rsid w:val="00D90C19"/>
    <w:rsid w:val="00D91C36"/>
    <w:rsid w:val="00D94AE6"/>
    <w:rsid w:val="00D94BB9"/>
    <w:rsid w:val="00D95048"/>
    <w:rsid w:val="00DA1AE4"/>
    <w:rsid w:val="00DA283C"/>
    <w:rsid w:val="00DA437B"/>
    <w:rsid w:val="00DA78D7"/>
    <w:rsid w:val="00DB0831"/>
    <w:rsid w:val="00DB1859"/>
    <w:rsid w:val="00DB1D37"/>
    <w:rsid w:val="00DB3A56"/>
    <w:rsid w:val="00DB6FE7"/>
    <w:rsid w:val="00DC1D00"/>
    <w:rsid w:val="00DC2A9F"/>
    <w:rsid w:val="00DC552D"/>
    <w:rsid w:val="00DC7B47"/>
    <w:rsid w:val="00DD1A5C"/>
    <w:rsid w:val="00DD1F41"/>
    <w:rsid w:val="00DD34E5"/>
    <w:rsid w:val="00DD3639"/>
    <w:rsid w:val="00DD4360"/>
    <w:rsid w:val="00DD6DD7"/>
    <w:rsid w:val="00DD6FD2"/>
    <w:rsid w:val="00DE1373"/>
    <w:rsid w:val="00DE21B5"/>
    <w:rsid w:val="00DE2EF0"/>
    <w:rsid w:val="00DE5A74"/>
    <w:rsid w:val="00DF0EBB"/>
    <w:rsid w:val="00DF22C3"/>
    <w:rsid w:val="00DF298C"/>
    <w:rsid w:val="00DF40A0"/>
    <w:rsid w:val="00DF4135"/>
    <w:rsid w:val="00DF5A45"/>
    <w:rsid w:val="00DF6369"/>
    <w:rsid w:val="00DF693A"/>
    <w:rsid w:val="00E0259E"/>
    <w:rsid w:val="00E0287C"/>
    <w:rsid w:val="00E0318A"/>
    <w:rsid w:val="00E04CC3"/>
    <w:rsid w:val="00E1000C"/>
    <w:rsid w:val="00E10BFF"/>
    <w:rsid w:val="00E1186D"/>
    <w:rsid w:val="00E1484A"/>
    <w:rsid w:val="00E152C9"/>
    <w:rsid w:val="00E2020D"/>
    <w:rsid w:val="00E21A06"/>
    <w:rsid w:val="00E2576F"/>
    <w:rsid w:val="00E30197"/>
    <w:rsid w:val="00E30704"/>
    <w:rsid w:val="00E30B21"/>
    <w:rsid w:val="00E344E1"/>
    <w:rsid w:val="00E34784"/>
    <w:rsid w:val="00E42B97"/>
    <w:rsid w:val="00E46AF8"/>
    <w:rsid w:val="00E47761"/>
    <w:rsid w:val="00E5409A"/>
    <w:rsid w:val="00E5458F"/>
    <w:rsid w:val="00E61333"/>
    <w:rsid w:val="00E6159D"/>
    <w:rsid w:val="00E6202D"/>
    <w:rsid w:val="00E62805"/>
    <w:rsid w:val="00E67AB7"/>
    <w:rsid w:val="00E743FC"/>
    <w:rsid w:val="00E760DC"/>
    <w:rsid w:val="00E772BA"/>
    <w:rsid w:val="00E80BCE"/>
    <w:rsid w:val="00E80EFF"/>
    <w:rsid w:val="00E81CF1"/>
    <w:rsid w:val="00E82532"/>
    <w:rsid w:val="00E855FA"/>
    <w:rsid w:val="00E85BD7"/>
    <w:rsid w:val="00E85F4F"/>
    <w:rsid w:val="00E87612"/>
    <w:rsid w:val="00E905AE"/>
    <w:rsid w:val="00E92ACD"/>
    <w:rsid w:val="00E974A2"/>
    <w:rsid w:val="00EA0415"/>
    <w:rsid w:val="00EA5AB5"/>
    <w:rsid w:val="00EA5D6A"/>
    <w:rsid w:val="00EA6950"/>
    <w:rsid w:val="00EB1FAF"/>
    <w:rsid w:val="00EB57E9"/>
    <w:rsid w:val="00EC05E9"/>
    <w:rsid w:val="00EC2A61"/>
    <w:rsid w:val="00EC2D7F"/>
    <w:rsid w:val="00EC614F"/>
    <w:rsid w:val="00EC6556"/>
    <w:rsid w:val="00ED1FD7"/>
    <w:rsid w:val="00ED3275"/>
    <w:rsid w:val="00ED3A25"/>
    <w:rsid w:val="00ED5234"/>
    <w:rsid w:val="00ED5C41"/>
    <w:rsid w:val="00EE1152"/>
    <w:rsid w:val="00EE2474"/>
    <w:rsid w:val="00EF28C5"/>
    <w:rsid w:val="00EF324E"/>
    <w:rsid w:val="00EF349C"/>
    <w:rsid w:val="00EF39B2"/>
    <w:rsid w:val="00EF39ED"/>
    <w:rsid w:val="00EF7E81"/>
    <w:rsid w:val="00F021CF"/>
    <w:rsid w:val="00F05B0F"/>
    <w:rsid w:val="00F1047D"/>
    <w:rsid w:val="00F12BB0"/>
    <w:rsid w:val="00F13DE3"/>
    <w:rsid w:val="00F13E79"/>
    <w:rsid w:val="00F16AF2"/>
    <w:rsid w:val="00F17BAE"/>
    <w:rsid w:val="00F2001D"/>
    <w:rsid w:val="00F20029"/>
    <w:rsid w:val="00F2201F"/>
    <w:rsid w:val="00F23852"/>
    <w:rsid w:val="00F24D86"/>
    <w:rsid w:val="00F27E85"/>
    <w:rsid w:val="00F318B8"/>
    <w:rsid w:val="00F323B7"/>
    <w:rsid w:val="00F33B15"/>
    <w:rsid w:val="00F341B8"/>
    <w:rsid w:val="00F417A3"/>
    <w:rsid w:val="00F42B7E"/>
    <w:rsid w:val="00F42EDB"/>
    <w:rsid w:val="00F44275"/>
    <w:rsid w:val="00F46C0C"/>
    <w:rsid w:val="00F5064E"/>
    <w:rsid w:val="00F55B72"/>
    <w:rsid w:val="00F6056C"/>
    <w:rsid w:val="00F60CB5"/>
    <w:rsid w:val="00F61581"/>
    <w:rsid w:val="00F62E7F"/>
    <w:rsid w:val="00F63BB9"/>
    <w:rsid w:val="00F658B9"/>
    <w:rsid w:val="00F67DBB"/>
    <w:rsid w:val="00F700AA"/>
    <w:rsid w:val="00F718B0"/>
    <w:rsid w:val="00F73A71"/>
    <w:rsid w:val="00F77D48"/>
    <w:rsid w:val="00F8293E"/>
    <w:rsid w:val="00F82BD4"/>
    <w:rsid w:val="00F84C94"/>
    <w:rsid w:val="00F90BB6"/>
    <w:rsid w:val="00F915D1"/>
    <w:rsid w:val="00F91939"/>
    <w:rsid w:val="00F93E86"/>
    <w:rsid w:val="00F9576D"/>
    <w:rsid w:val="00F95F0C"/>
    <w:rsid w:val="00F9732F"/>
    <w:rsid w:val="00FA0E7F"/>
    <w:rsid w:val="00FA3548"/>
    <w:rsid w:val="00FA4B38"/>
    <w:rsid w:val="00FA50EB"/>
    <w:rsid w:val="00FA6DC0"/>
    <w:rsid w:val="00FA7EB1"/>
    <w:rsid w:val="00FB1CEC"/>
    <w:rsid w:val="00FB419B"/>
    <w:rsid w:val="00FB46DC"/>
    <w:rsid w:val="00FB6F9F"/>
    <w:rsid w:val="00FB7A48"/>
    <w:rsid w:val="00FC12FE"/>
    <w:rsid w:val="00FC1489"/>
    <w:rsid w:val="00FC3441"/>
    <w:rsid w:val="00FD1ED3"/>
    <w:rsid w:val="00FD6C28"/>
    <w:rsid w:val="00FE1287"/>
    <w:rsid w:val="00FE310B"/>
    <w:rsid w:val="00FE39B9"/>
    <w:rsid w:val="00FE6AD7"/>
    <w:rsid w:val="00FF1BA9"/>
    <w:rsid w:val="00FF5290"/>
    <w:rsid w:val="00FF60DC"/>
    <w:rsid w:val="01270235"/>
    <w:rsid w:val="012E7D18"/>
    <w:rsid w:val="016044A9"/>
    <w:rsid w:val="016D7BF4"/>
    <w:rsid w:val="017D6922"/>
    <w:rsid w:val="018216B2"/>
    <w:rsid w:val="0188063C"/>
    <w:rsid w:val="019454CB"/>
    <w:rsid w:val="01A61E09"/>
    <w:rsid w:val="02101C05"/>
    <w:rsid w:val="0243024B"/>
    <w:rsid w:val="025E0111"/>
    <w:rsid w:val="026C764A"/>
    <w:rsid w:val="02BE2F14"/>
    <w:rsid w:val="02C1070E"/>
    <w:rsid w:val="02E00A01"/>
    <w:rsid w:val="02E45A35"/>
    <w:rsid w:val="03254F26"/>
    <w:rsid w:val="032E18B6"/>
    <w:rsid w:val="036D00A8"/>
    <w:rsid w:val="037F22ED"/>
    <w:rsid w:val="03C84930"/>
    <w:rsid w:val="03DF7E09"/>
    <w:rsid w:val="042E5ECB"/>
    <w:rsid w:val="046A2403"/>
    <w:rsid w:val="048320BB"/>
    <w:rsid w:val="049F29B2"/>
    <w:rsid w:val="04B563C2"/>
    <w:rsid w:val="04F33296"/>
    <w:rsid w:val="04F76FF5"/>
    <w:rsid w:val="04FB5615"/>
    <w:rsid w:val="04FE4606"/>
    <w:rsid w:val="05123C66"/>
    <w:rsid w:val="05162041"/>
    <w:rsid w:val="05300E79"/>
    <w:rsid w:val="05531A54"/>
    <w:rsid w:val="056F4657"/>
    <w:rsid w:val="05D92AC8"/>
    <w:rsid w:val="05F92C68"/>
    <w:rsid w:val="05FC1619"/>
    <w:rsid w:val="06571B7A"/>
    <w:rsid w:val="066E1311"/>
    <w:rsid w:val="06780EB3"/>
    <w:rsid w:val="06EC7CA3"/>
    <w:rsid w:val="07420E44"/>
    <w:rsid w:val="074F58A9"/>
    <w:rsid w:val="077111CE"/>
    <w:rsid w:val="0772575A"/>
    <w:rsid w:val="079F45CE"/>
    <w:rsid w:val="07C00DF0"/>
    <w:rsid w:val="07CC1133"/>
    <w:rsid w:val="07DA3A8F"/>
    <w:rsid w:val="08517666"/>
    <w:rsid w:val="086B16B5"/>
    <w:rsid w:val="08800425"/>
    <w:rsid w:val="0885360A"/>
    <w:rsid w:val="089D7C92"/>
    <w:rsid w:val="08BA1867"/>
    <w:rsid w:val="08E93CDD"/>
    <w:rsid w:val="091B19F4"/>
    <w:rsid w:val="09411FEF"/>
    <w:rsid w:val="09487C23"/>
    <w:rsid w:val="094E48D7"/>
    <w:rsid w:val="099D3B73"/>
    <w:rsid w:val="09C92DD3"/>
    <w:rsid w:val="09CF6E4B"/>
    <w:rsid w:val="0A427304"/>
    <w:rsid w:val="0A9B46A5"/>
    <w:rsid w:val="0AB35ECF"/>
    <w:rsid w:val="0B093D05"/>
    <w:rsid w:val="0B174EED"/>
    <w:rsid w:val="0B24555E"/>
    <w:rsid w:val="0B6B045B"/>
    <w:rsid w:val="0BB85C07"/>
    <w:rsid w:val="0BD554C2"/>
    <w:rsid w:val="0C233580"/>
    <w:rsid w:val="0C422F23"/>
    <w:rsid w:val="0C4E6159"/>
    <w:rsid w:val="0C517770"/>
    <w:rsid w:val="0CD95563"/>
    <w:rsid w:val="0D2B334D"/>
    <w:rsid w:val="0D2E5EF7"/>
    <w:rsid w:val="0D3040B5"/>
    <w:rsid w:val="0D3F4A1C"/>
    <w:rsid w:val="0D6B5CE0"/>
    <w:rsid w:val="0DAA0985"/>
    <w:rsid w:val="0DBE2B84"/>
    <w:rsid w:val="0E3267CA"/>
    <w:rsid w:val="0E356C08"/>
    <w:rsid w:val="0E7476E7"/>
    <w:rsid w:val="0E7B4525"/>
    <w:rsid w:val="0EC00627"/>
    <w:rsid w:val="0EE67EBE"/>
    <w:rsid w:val="0EEB1A33"/>
    <w:rsid w:val="0F07663F"/>
    <w:rsid w:val="0F266177"/>
    <w:rsid w:val="0F392060"/>
    <w:rsid w:val="0F4E20BF"/>
    <w:rsid w:val="0F7E19FB"/>
    <w:rsid w:val="0F9B64FD"/>
    <w:rsid w:val="0FCA03F6"/>
    <w:rsid w:val="0FF66DDB"/>
    <w:rsid w:val="10094612"/>
    <w:rsid w:val="100A034B"/>
    <w:rsid w:val="10123AB6"/>
    <w:rsid w:val="10242BB4"/>
    <w:rsid w:val="10767327"/>
    <w:rsid w:val="10A548E4"/>
    <w:rsid w:val="111C535B"/>
    <w:rsid w:val="11304CEB"/>
    <w:rsid w:val="1174389E"/>
    <w:rsid w:val="11A34E40"/>
    <w:rsid w:val="11AF4DCB"/>
    <w:rsid w:val="11E84285"/>
    <w:rsid w:val="12040900"/>
    <w:rsid w:val="121E3C56"/>
    <w:rsid w:val="123C34D0"/>
    <w:rsid w:val="12406A48"/>
    <w:rsid w:val="127D0D99"/>
    <w:rsid w:val="128C3C71"/>
    <w:rsid w:val="12955111"/>
    <w:rsid w:val="12B661B9"/>
    <w:rsid w:val="12CC6E6D"/>
    <w:rsid w:val="12F2534D"/>
    <w:rsid w:val="13415DC1"/>
    <w:rsid w:val="13806E42"/>
    <w:rsid w:val="139D361C"/>
    <w:rsid w:val="13A607E7"/>
    <w:rsid w:val="13BB3CDF"/>
    <w:rsid w:val="13C3043B"/>
    <w:rsid w:val="13CB4040"/>
    <w:rsid w:val="13CD034D"/>
    <w:rsid w:val="13D94D00"/>
    <w:rsid w:val="13E4531F"/>
    <w:rsid w:val="140E7482"/>
    <w:rsid w:val="1440520B"/>
    <w:rsid w:val="14737EE6"/>
    <w:rsid w:val="14AA6509"/>
    <w:rsid w:val="14B8319D"/>
    <w:rsid w:val="14C91806"/>
    <w:rsid w:val="14EB1FEA"/>
    <w:rsid w:val="14FC7B3F"/>
    <w:rsid w:val="15651629"/>
    <w:rsid w:val="15FD73DC"/>
    <w:rsid w:val="161820A1"/>
    <w:rsid w:val="16442064"/>
    <w:rsid w:val="16601FC6"/>
    <w:rsid w:val="169C500C"/>
    <w:rsid w:val="16A21142"/>
    <w:rsid w:val="16C604FC"/>
    <w:rsid w:val="16CD3013"/>
    <w:rsid w:val="16EC3585"/>
    <w:rsid w:val="16FC68BB"/>
    <w:rsid w:val="171B2DF6"/>
    <w:rsid w:val="17215B26"/>
    <w:rsid w:val="1766053B"/>
    <w:rsid w:val="177A2017"/>
    <w:rsid w:val="17BC5001"/>
    <w:rsid w:val="180C73B4"/>
    <w:rsid w:val="183A0A1F"/>
    <w:rsid w:val="188E1095"/>
    <w:rsid w:val="18F22679"/>
    <w:rsid w:val="19077260"/>
    <w:rsid w:val="19633707"/>
    <w:rsid w:val="198C1D89"/>
    <w:rsid w:val="19F61DB3"/>
    <w:rsid w:val="1A044E5C"/>
    <w:rsid w:val="1A0A3ED9"/>
    <w:rsid w:val="1A1C7D9D"/>
    <w:rsid w:val="1A85755F"/>
    <w:rsid w:val="1AAE4C60"/>
    <w:rsid w:val="1AC5201B"/>
    <w:rsid w:val="1AD21758"/>
    <w:rsid w:val="1B066BC1"/>
    <w:rsid w:val="1B0733CA"/>
    <w:rsid w:val="1B203F6E"/>
    <w:rsid w:val="1B5460FD"/>
    <w:rsid w:val="1B6D5277"/>
    <w:rsid w:val="1B74013C"/>
    <w:rsid w:val="1B80132A"/>
    <w:rsid w:val="1B9104D7"/>
    <w:rsid w:val="1BC11C8F"/>
    <w:rsid w:val="1BF63D4F"/>
    <w:rsid w:val="1C0A22F6"/>
    <w:rsid w:val="1C8D6C46"/>
    <w:rsid w:val="1C915908"/>
    <w:rsid w:val="1CBD66FD"/>
    <w:rsid w:val="1CF56994"/>
    <w:rsid w:val="1CFA34AD"/>
    <w:rsid w:val="1CFD391F"/>
    <w:rsid w:val="1D085BCA"/>
    <w:rsid w:val="1D2631AE"/>
    <w:rsid w:val="1D432DA6"/>
    <w:rsid w:val="1D4803F6"/>
    <w:rsid w:val="1D55246E"/>
    <w:rsid w:val="1D5D7425"/>
    <w:rsid w:val="1D711C40"/>
    <w:rsid w:val="1D8B72CE"/>
    <w:rsid w:val="1D923B26"/>
    <w:rsid w:val="1D97295C"/>
    <w:rsid w:val="1DD33B60"/>
    <w:rsid w:val="1E0D2BED"/>
    <w:rsid w:val="1E14059F"/>
    <w:rsid w:val="1E1C1372"/>
    <w:rsid w:val="1E263932"/>
    <w:rsid w:val="1E377AAF"/>
    <w:rsid w:val="1E554FB8"/>
    <w:rsid w:val="1E591AD6"/>
    <w:rsid w:val="1E671444"/>
    <w:rsid w:val="1E7754BF"/>
    <w:rsid w:val="1E8642EA"/>
    <w:rsid w:val="1EC22A77"/>
    <w:rsid w:val="1EC93719"/>
    <w:rsid w:val="1EC93D2C"/>
    <w:rsid w:val="1EE91A2B"/>
    <w:rsid w:val="1F14499E"/>
    <w:rsid w:val="1F1E7315"/>
    <w:rsid w:val="1F4E7296"/>
    <w:rsid w:val="1F574CD6"/>
    <w:rsid w:val="1F5B26C7"/>
    <w:rsid w:val="1F616641"/>
    <w:rsid w:val="1F8C1E8D"/>
    <w:rsid w:val="1FCF387B"/>
    <w:rsid w:val="1FF45441"/>
    <w:rsid w:val="1FFA58DC"/>
    <w:rsid w:val="20054643"/>
    <w:rsid w:val="202D1DEC"/>
    <w:rsid w:val="203A4DF7"/>
    <w:rsid w:val="20726201"/>
    <w:rsid w:val="20A00714"/>
    <w:rsid w:val="21086E2B"/>
    <w:rsid w:val="212501DB"/>
    <w:rsid w:val="21367C09"/>
    <w:rsid w:val="21556F4B"/>
    <w:rsid w:val="217C25BA"/>
    <w:rsid w:val="21ED012D"/>
    <w:rsid w:val="22017EB6"/>
    <w:rsid w:val="221E1DB9"/>
    <w:rsid w:val="224109E7"/>
    <w:rsid w:val="225466BF"/>
    <w:rsid w:val="22724546"/>
    <w:rsid w:val="227B4F6B"/>
    <w:rsid w:val="22A144DF"/>
    <w:rsid w:val="22AB6D11"/>
    <w:rsid w:val="22EB689E"/>
    <w:rsid w:val="230B1479"/>
    <w:rsid w:val="230B3BB2"/>
    <w:rsid w:val="235A1D39"/>
    <w:rsid w:val="238044CA"/>
    <w:rsid w:val="23A076A9"/>
    <w:rsid w:val="23C678D7"/>
    <w:rsid w:val="23E23948"/>
    <w:rsid w:val="23EE7286"/>
    <w:rsid w:val="23FB4521"/>
    <w:rsid w:val="23FF163A"/>
    <w:rsid w:val="2472310C"/>
    <w:rsid w:val="249C2E00"/>
    <w:rsid w:val="24EE6478"/>
    <w:rsid w:val="250F7D8F"/>
    <w:rsid w:val="251A7866"/>
    <w:rsid w:val="251E4A80"/>
    <w:rsid w:val="25553977"/>
    <w:rsid w:val="25741245"/>
    <w:rsid w:val="259E0BF3"/>
    <w:rsid w:val="25B836B3"/>
    <w:rsid w:val="25CB5EB9"/>
    <w:rsid w:val="25F807A6"/>
    <w:rsid w:val="262713CE"/>
    <w:rsid w:val="262F690B"/>
    <w:rsid w:val="26341D7F"/>
    <w:rsid w:val="26C62339"/>
    <w:rsid w:val="26CE5027"/>
    <w:rsid w:val="26F946A7"/>
    <w:rsid w:val="26FA406F"/>
    <w:rsid w:val="27335D87"/>
    <w:rsid w:val="27E640F7"/>
    <w:rsid w:val="27F62AEE"/>
    <w:rsid w:val="27FF4816"/>
    <w:rsid w:val="284B7CE1"/>
    <w:rsid w:val="285F70F6"/>
    <w:rsid w:val="2866365B"/>
    <w:rsid w:val="287A7C80"/>
    <w:rsid w:val="28B34978"/>
    <w:rsid w:val="28BA0318"/>
    <w:rsid w:val="28F10DCC"/>
    <w:rsid w:val="290F0C67"/>
    <w:rsid w:val="294948E2"/>
    <w:rsid w:val="29800C4A"/>
    <w:rsid w:val="29895E1F"/>
    <w:rsid w:val="29990464"/>
    <w:rsid w:val="299A68AB"/>
    <w:rsid w:val="2A342F8A"/>
    <w:rsid w:val="2A3B719C"/>
    <w:rsid w:val="2A3D663B"/>
    <w:rsid w:val="2A570191"/>
    <w:rsid w:val="2A681C16"/>
    <w:rsid w:val="2AAF1D39"/>
    <w:rsid w:val="2AED1FCC"/>
    <w:rsid w:val="2AF4778E"/>
    <w:rsid w:val="2AFB4C11"/>
    <w:rsid w:val="2B5878E0"/>
    <w:rsid w:val="2B6D3C2C"/>
    <w:rsid w:val="2B876618"/>
    <w:rsid w:val="2B9D683D"/>
    <w:rsid w:val="2BA30B10"/>
    <w:rsid w:val="2BB9798A"/>
    <w:rsid w:val="2BD01C52"/>
    <w:rsid w:val="2BD771E2"/>
    <w:rsid w:val="2BDD6474"/>
    <w:rsid w:val="2BF61DBC"/>
    <w:rsid w:val="2C452D08"/>
    <w:rsid w:val="2C624BCB"/>
    <w:rsid w:val="2C6E3E91"/>
    <w:rsid w:val="2C7B662C"/>
    <w:rsid w:val="2CB973C0"/>
    <w:rsid w:val="2CF23FA9"/>
    <w:rsid w:val="2D4F45FE"/>
    <w:rsid w:val="2D702CD6"/>
    <w:rsid w:val="2DB5680A"/>
    <w:rsid w:val="2DCA62E1"/>
    <w:rsid w:val="2DDE2C59"/>
    <w:rsid w:val="2DEA1381"/>
    <w:rsid w:val="2E2A5D9D"/>
    <w:rsid w:val="2E50057C"/>
    <w:rsid w:val="2F152A2F"/>
    <w:rsid w:val="2F204A26"/>
    <w:rsid w:val="2F3045A4"/>
    <w:rsid w:val="2F567AA0"/>
    <w:rsid w:val="2FBF46D1"/>
    <w:rsid w:val="2FE404FC"/>
    <w:rsid w:val="2FE42E64"/>
    <w:rsid w:val="2FED6DC1"/>
    <w:rsid w:val="2FF2255B"/>
    <w:rsid w:val="2FFD7DA6"/>
    <w:rsid w:val="30043F67"/>
    <w:rsid w:val="30047A58"/>
    <w:rsid w:val="300C15C3"/>
    <w:rsid w:val="30216B85"/>
    <w:rsid w:val="305F4A76"/>
    <w:rsid w:val="3096561A"/>
    <w:rsid w:val="309F5392"/>
    <w:rsid w:val="30F45462"/>
    <w:rsid w:val="3161171F"/>
    <w:rsid w:val="317C08D5"/>
    <w:rsid w:val="31920D2C"/>
    <w:rsid w:val="319A28B2"/>
    <w:rsid w:val="31CD236D"/>
    <w:rsid w:val="32047CF8"/>
    <w:rsid w:val="3255145A"/>
    <w:rsid w:val="32616CCE"/>
    <w:rsid w:val="3276083D"/>
    <w:rsid w:val="328970D0"/>
    <w:rsid w:val="32C2156D"/>
    <w:rsid w:val="32EA782E"/>
    <w:rsid w:val="330B28C4"/>
    <w:rsid w:val="33905BDA"/>
    <w:rsid w:val="339104D5"/>
    <w:rsid w:val="339B19D0"/>
    <w:rsid w:val="33B00EB1"/>
    <w:rsid w:val="33BE3494"/>
    <w:rsid w:val="34164C19"/>
    <w:rsid w:val="345C10D3"/>
    <w:rsid w:val="349A5311"/>
    <w:rsid w:val="34AA75BD"/>
    <w:rsid w:val="34F77FF2"/>
    <w:rsid w:val="3508551A"/>
    <w:rsid w:val="350A7273"/>
    <w:rsid w:val="35555708"/>
    <w:rsid w:val="35977F24"/>
    <w:rsid w:val="359C0F7A"/>
    <w:rsid w:val="35A216BD"/>
    <w:rsid w:val="35B0517C"/>
    <w:rsid w:val="35C31AD3"/>
    <w:rsid w:val="35D928F0"/>
    <w:rsid w:val="35F2462B"/>
    <w:rsid w:val="36336D5D"/>
    <w:rsid w:val="3665782E"/>
    <w:rsid w:val="36B679FA"/>
    <w:rsid w:val="36B879C4"/>
    <w:rsid w:val="37113475"/>
    <w:rsid w:val="373E1463"/>
    <w:rsid w:val="376C2FFB"/>
    <w:rsid w:val="37776170"/>
    <w:rsid w:val="377D6D5D"/>
    <w:rsid w:val="378B37C3"/>
    <w:rsid w:val="378D2EB6"/>
    <w:rsid w:val="379B1808"/>
    <w:rsid w:val="37B71781"/>
    <w:rsid w:val="37BE57F0"/>
    <w:rsid w:val="37C84A5E"/>
    <w:rsid w:val="380D0483"/>
    <w:rsid w:val="380E6051"/>
    <w:rsid w:val="383B0BDA"/>
    <w:rsid w:val="384567CB"/>
    <w:rsid w:val="3862667F"/>
    <w:rsid w:val="386B59AC"/>
    <w:rsid w:val="3879152D"/>
    <w:rsid w:val="38AE1E9C"/>
    <w:rsid w:val="38B31936"/>
    <w:rsid w:val="38F053B1"/>
    <w:rsid w:val="38F2725A"/>
    <w:rsid w:val="39054461"/>
    <w:rsid w:val="392576AC"/>
    <w:rsid w:val="3941563D"/>
    <w:rsid w:val="394839B5"/>
    <w:rsid w:val="39512090"/>
    <w:rsid w:val="396A3263"/>
    <w:rsid w:val="397956A2"/>
    <w:rsid w:val="39C037CE"/>
    <w:rsid w:val="39D153D9"/>
    <w:rsid w:val="39E96A97"/>
    <w:rsid w:val="3A61177C"/>
    <w:rsid w:val="3A86167D"/>
    <w:rsid w:val="3A962E54"/>
    <w:rsid w:val="3AE332B3"/>
    <w:rsid w:val="3B2425B5"/>
    <w:rsid w:val="3B42033D"/>
    <w:rsid w:val="3B7737C4"/>
    <w:rsid w:val="3B7B7465"/>
    <w:rsid w:val="3B917FA0"/>
    <w:rsid w:val="3BE53B8F"/>
    <w:rsid w:val="3BE87AE4"/>
    <w:rsid w:val="3BEB6270"/>
    <w:rsid w:val="3BF07939"/>
    <w:rsid w:val="3C7337AA"/>
    <w:rsid w:val="3C812A6F"/>
    <w:rsid w:val="3C8C247C"/>
    <w:rsid w:val="3C923ECA"/>
    <w:rsid w:val="3CAB1A95"/>
    <w:rsid w:val="3CB01F2D"/>
    <w:rsid w:val="3CD71855"/>
    <w:rsid w:val="3D221248"/>
    <w:rsid w:val="3D266D79"/>
    <w:rsid w:val="3D37695F"/>
    <w:rsid w:val="3D561E86"/>
    <w:rsid w:val="3D65545B"/>
    <w:rsid w:val="3D772662"/>
    <w:rsid w:val="3D811384"/>
    <w:rsid w:val="3D9A41C5"/>
    <w:rsid w:val="3DBA29BE"/>
    <w:rsid w:val="3DE86EB7"/>
    <w:rsid w:val="3E0013C5"/>
    <w:rsid w:val="3E774A7E"/>
    <w:rsid w:val="3E7C6D69"/>
    <w:rsid w:val="3E7F51F3"/>
    <w:rsid w:val="3EA57D52"/>
    <w:rsid w:val="3EEB627E"/>
    <w:rsid w:val="3EEF0540"/>
    <w:rsid w:val="3EFC2078"/>
    <w:rsid w:val="3F11649E"/>
    <w:rsid w:val="3FA119B7"/>
    <w:rsid w:val="3FAC0ABE"/>
    <w:rsid w:val="40177DE3"/>
    <w:rsid w:val="401C1A93"/>
    <w:rsid w:val="40365D96"/>
    <w:rsid w:val="405469A5"/>
    <w:rsid w:val="405B3037"/>
    <w:rsid w:val="406971A0"/>
    <w:rsid w:val="406F6406"/>
    <w:rsid w:val="407B32B3"/>
    <w:rsid w:val="4082755E"/>
    <w:rsid w:val="40864BE5"/>
    <w:rsid w:val="40976810"/>
    <w:rsid w:val="40983974"/>
    <w:rsid w:val="411444FA"/>
    <w:rsid w:val="4130198F"/>
    <w:rsid w:val="41466C49"/>
    <w:rsid w:val="4164112F"/>
    <w:rsid w:val="41724971"/>
    <w:rsid w:val="417A1877"/>
    <w:rsid w:val="4198625A"/>
    <w:rsid w:val="419E4D5B"/>
    <w:rsid w:val="41AD4343"/>
    <w:rsid w:val="420607F9"/>
    <w:rsid w:val="4223571D"/>
    <w:rsid w:val="422711D3"/>
    <w:rsid w:val="424B4ED2"/>
    <w:rsid w:val="4259721B"/>
    <w:rsid w:val="4277095A"/>
    <w:rsid w:val="42BC33D4"/>
    <w:rsid w:val="42F26EE7"/>
    <w:rsid w:val="43120D33"/>
    <w:rsid w:val="431261F8"/>
    <w:rsid w:val="43142B72"/>
    <w:rsid w:val="43173F8B"/>
    <w:rsid w:val="432253DD"/>
    <w:rsid w:val="43414525"/>
    <w:rsid w:val="43501007"/>
    <w:rsid w:val="436E7BCB"/>
    <w:rsid w:val="43845ADA"/>
    <w:rsid w:val="43863DDA"/>
    <w:rsid w:val="43C21DA7"/>
    <w:rsid w:val="43ED5605"/>
    <w:rsid w:val="43F2318E"/>
    <w:rsid w:val="43F404F0"/>
    <w:rsid w:val="44057B49"/>
    <w:rsid w:val="442370EE"/>
    <w:rsid w:val="4431700A"/>
    <w:rsid w:val="4434242C"/>
    <w:rsid w:val="444713CC"/>
    <w:rsid w:val="444939F2"/>
    <w:rsid w:val="444C4629"/>
    <w:rsid w:val="4507267F"/>
    <w:rsid w:val="45551365"/>
    <w:rsid w:val="458E3B2C"/>
    <w:rsid w:val="45A70240"/>
    <w:rsid w:val="45CD37C2"/>
    <w:rsid w:val="45E95E2A"/>
    <w:rsid w:val="466B4B1F"/>
    <w:rsid w:val="467938A1"/>
    <w:rsid w:val="46843C54"/>
    <w:rsid w:val="46A105A6"/>
    <w:rsid w:val="476D1AF8"/>
    <w:rsid w:val="476F66C2"/>
    <w:rsid w:val="477516F2"/>
    <w:rsid w:val="47AE2250"/>
    <w:rsid w:val="47D71DD0"/>
    <w:rsid w:val="47E061CB"/>
    <w:rsid w:val="48165A4C"/>
    <w:rsid w:val="482809DA"/>
    <w:rsid w:val="489E30DB"/>
    <w:rsid w:val="48C45A4A"/>
    <w:rsid w:val="492529A8"/>
    <w:rsid w:val="494C3679"/>
    <w:rsid w:val="495153BF"/>
    <w:rsid w:val="496C5B5D"/>
    <w:rsid w:val="49C012EB"/>
    <w:rsid w:val="49E43F48"/>
    <w:rsid w:val="4A001785"/>
    <w:rsid w:val="4A0B7731"/>
    <w:rsid w:val="4A0C2BBE"/>
    <w:rsid w:val="4A1728C2"/>
    <w:rsid w:val="4A273ACA"/>
    <w:rsid w:val="4A304966"/>
    <w:rsid w:val="4A316322"/>
    <w:rsid w:val="4A3A7537"/>
    <w:rsid w:val="4A8D103F"/>
    <w:rsid w:val="4A9A751F"/>
    <w:rsid w:val="4AA6386E"/>
    <w:rsid w:val="4AB8212E"/>
    <w:rsid w:val="4AE10089"/>
    <w:rsid w:val="4B177614"/>
    <w:rsid w:val="4B3A3DE4"/>
    <w:rsid w:val="4B3A540D"/>
    <w:rsid w:val="4B632FC3"/>
    <w:rsid w:val="4B77032C"/>
    <w:rsid w:val="4B825A20"/>
    <w:rsid w:val="4B844FFE"/>
    <w:rsid w:val="4B852596"/>
    <w:rsid w:val="4BCA4DC2"/>
    <w:rsid w:val="4C3677AE"/>
    <w:rsid w:val="4C377A25"/>
    <w:rsid w:val="4C392704"/>
    <w:rsid w:val="4C7A34F3"/>
    <w:rsid w:val="4CC43F74"/>
    <w:rsid w:val="4CDF1BF4"/>
    <w:rsid w:val="4CF03E01"/>
    <w:rsid w:val="4CF11927"/>
    <w:rsid w:val="4CF35A05"/>
    <w:rsid w:val="4CF626AD"/>
    <w:rsid w:val="4D1B4D54"/>
    <w:rsid w:val="4D372C3B"/>
    <w:rsid w:val="4D3806BD"/>
    <w:rsid w:val="4D492407"/>
    <w:rsid w:val="4D704C54"/>
    <w:rsid w:val="4DA30338"/>
    <w:rsid w:val="4DA97C06"/>
    <w:rsid w:val="4E02675F"/>
    <w:rsid w:val="4E387A71"/>
    <w:rsid w:val="4E3A6AAF"/>
    <w:rsid w:val="4E510DE9"/>
    <w:rsid w:val="4E727057"/>
    <w:rsid w:val="4EAA6D71"/>
    <w:rsid w:val="4ED64236"/>
    <w:rsid w:val="4EED24AC"/>
    <w:rsid w:val="4F0326E0"/>
    <w:rsid w:val="4F2432B9"/>
    <w:rsid w:val="4F446C45"/>
    <w:rsid w:val="4F4A2B3F"/>
    <w:rsid w:val="4F6C06AC"/>
    <w:rsid w:val="4F6E71E8"/>
    <w:rsid w:val="4F711190"/>
    <w:rsid w:val="4F893B75"/>
    <w:rsid w:val="4FA56487"/>
    <w:rsid w:val="4FB546D2"/>
    <w:rsid w:val="4FBA5BC1"/>
    <w:rsid w:val="4FBF6C8D"/>
    <w:rsid w:val="4FC44EDC"/>
    <w:rsid w:val="4FCB4764"/>
    <w:rsid w:val="4FCB6356"/>
    <w:rsid w:val="4FE43EBC"/>
    <w:rsid w:val="4FE60A95"/>
    <w:rsid w:val="50313801"/>
    <w:rsid w:val="5091265E"/>
    <w:rsid w:val="50997532"/>
    <w:rsid w:val="50BC70F0"/>
    <w:rsid w:val="50D342C7"/>
    <w:rsid w:val="510A0741"/>
    <w:rsid w:val="511D2528"/>
    <w:rsid w:val="512273C8"/>
    <w:rsid w:val="512A5C00"/>
    <w:rsid w:val="513661D7"/>
    <w:rsid w:val="51597F62"/>
    <w:rsid w:val="515A4C5A"/>
    <w:rsid w:val="51870FB2"/>
    <w:rsid w:val="51A55A5A"/>
    <w:rsid w:val="522222C1"/>
    <w:rsid w:val="52445B03"/>
    <w:rsid w:val="52663A8D"/>
    <w:rsid w:val="527247F2"/>
    <w:rsid w:val="52B15EA8"/>
    <w:rsid w:val="52C12FB4"/>
    <w:rsid w:val="53097B05"/>
    <w:rsid w:val="53364538"/>
    <w:rsid w:val="53501942"/>
    <w:rsid w:val="535B5D4C"/>
    <w:rsid w:val="53866EE0"/>
    <w:rsid w:val="538F587F"/>
    <w:rsid w:val="539354E6"/>
    <w:rsid w:val="5394736B"/>
    <w:rsid w:val="53E91CD8"/>
    <w:rsid w:val="53ED0594"/>
    <w:rsid w:val="544E2FF3"/>
    <w:rsid w:val="548E2A16"/>
    <w:rsid w:val="54A67449"/>
    <w:rsid w:val="54BC0A6D"/>
    <w:rsid w:val="54D631C4"/>
    <w:rsid w:val="54FE0F4B"/>
    <w:rsid w:val="551E7F0E"/>
    <w:rsid w:val="55543F48"/>
    <w:rsid w:val="55675672"/>
    <w:rsid w:val="55B95F2B"/>
    <w:rsid w:val="55C22640"/>
    <w:rsid w:val="55D63612"/>
    <w:rsid w:val="55D9538F"/>
    <w:rsid w:val="564A5BEE"/>
    <w:rsid w:val="56670CFD"/>
    <w:rsid w:val="567E4C44"/>
    <w:rsid w:val="56951CE4"/>
    <w:rsid w:val="56AE79CA"/>
    <w:rsid w:val="56B137E7"/>
    <w:rsid w:val="56EE523C"/>
    <w:rsid w:val="56F56274"/>
    <w:rsid w:val="573321DF"/>
    <w:rsid w:val="573F7E85"/>
    <w:rsid w:val="57512C96"/>
    <w:rsid w:val="579D0773"/>
    <w:rsid w:val="57AD5492"/>
    <w:rsid w:val="57D55DB7"/>
    <w:rsid w:val="57EA618A"/>
    <w:rsid w:val="587842C9"/>
    <w:rsid w:val="5901510A"/>
    <w:rsid w:val="59654F1B"/>
    <w:rsid w:val="59BD3AFF"/>
    <w:rsid w:val="5A037B04"/>
    <w:rsid w:val="5A102BA8"/>
    <w:rsid w:val="5A33357F"/>
    <w:rsid w:val="5A4F37B3"/>
    <w:rsid w:val="5A650D5A"/>
    <w:rsid w:val="5A8E6B50"/>
    <w:rsid w:val="5A9B0420"/>
    <w:rsid w:val="5AEA3665"/>
    <w:rsid w:val="5B100859"/>
    <w:rsid w:val="5B430241"/>
    <w:rsid w:val="5B526E3B"/>
    <w:rsid w:val="5B7E7A8D"/>
    <w:rsid w:val="5BCE4EFB"/>
    <w:rsid w:val="5BD37C54"/>
    <w:rsid w:val="5BEF091F"/>
    <w:rsid w:val="5C304CE7"/>
    <w:rsid w:val="5C5C3F42"/>
    <w:rsid w:val="5C842C78"/>
    <w:rsid w:val="5C9A0C0F"/>
    <w:rsid w:val="5CC072E3"/>
    <w:rsid w:val="5CC42BB4"/>
    <w:rsid w:val="5CF66B8A"/>
    <w:rsid w:val="5D0F636D"/>
    <w:rsid w:val="5D176670"/>
    <w:rsid w:val="5D6C59E0"/>
    <w:rsid w:val="5DA77237"/>
    <w:rsid w:val="5DAC51B0"/>
    <w:rsid w:val="5E4B7568"/>
    <w:rsid w:val="5E826C57"/>
    <w:rsid w:val="5EC67EF0"/>
    <w:rsid w:val="5EE2630C"/>
    <w:rsid w:val="5EEC2A0C"/>
    <w:rsid w:val="5EF56B5D"/>
    <w:rsid w:val="5EFB5FCF"/>
    <w:rsid w:val="5F6D550D"/>
    <w:rsid w:val="5FC22424"/>
    <w:rsid w:val="5FD13EA0"/>
    <w:rsid w:val="60125EE4"/>
    <w:rsid w:val="6046370C"/>
    <w:rsid w:val="60976762"/>
    <w:rsid w:val="60F74870"/>
    <w:rsid w:val="613D2374"/>
    <w:rsid w:val="615674ED"/>
    <w:rsid w:val="616F7CA4"/>
    <w:rsid w:val="61744EA1"/>
    <w:rsid w:val="6192299A"/>
    <w:rsid w:val="61DD563E"/>
    <w:rsid w:val="62585F39"/>
    <w:rsid w:val="62A603DB"/>
    <w:rsid w:val="62A84D42"/>
    <w:rsid w:val="62F91DFD"/>
    <w:rsid w:val="63082288"/>
    <w:rsid w:val="63133B9D"/>
    <w:rsid w:val="63362F43"/>
    <w:rsid w:val="634550EE"/>
    <w:rsid w:val="63493C8A"/>
    <w:rsid w:val="634D6B2F"/>
    <w:rsid w:val="637048DB"/>
    <w:rsid w:val="637C54D8"/>
    <w:rsid w:val="63C13AF7"/>
    <w:rsid w:val="63E30C22"/>
    <w:rsid w:val="640E1B35"/>
    <w:rsid w:val="641169F9"/>
    <w:rsid w:val="647F0AF5"/>
    <w:rsid w:val="64835926"/>
    <w:rsid w:val="64AA146F"/>
    <w:rsid w:val="6513356B"/>
    <w:rsid w:val="65335497"/>
    <w:rsid w:val="6569373F"/>
    <w:rsid w:val="65772423"/>
    <w:rsid w:val="659B0E33"/>
    <w:rsid w:val="65AD18B1"/>
    <w:rsid w:val="65CD7105"/>
    <w:rsid w:val="65D35C16"/>
    <w:rsid w:val="65D76172"/>
    <w:rsid w:val="65DF5F0F"/>
    <w:rsid w:val="65E22B14"/>
    <w:rsid w:val="65E3152D"/>
    <w:rsid w:val="65F76F29"/>
    <w:rsid w:val="660D737A"/>
    <w:rsid w:val="660E458C"/>
    <w:rsid w:val="66672BBB"/>
    <w:rsid w:val="666F577B"/>
    <w:rsid w:val="66863E8D"/>
    <w:rsid w:val="66A444A8"/>
    <w:rsid w:val="66AB0854"/>
    <w:rsid w:val="66B1107B"/>
    <w:rsid w:val="66B303BA"/>
    <w:rsid w:val="66C7436D"/>
    <w:rsid w:val="66C77325"/>
    <w:rsid w:val="66D71736"/>
    <w:rsid w:val="67000E3E"/>
    <w:rsid w:val="67220C03"/>
    <w:rsid w:val="67421DE6"/>
    <w:rsid w:val="674C47C9"/>
    <w:rsid w:val="674D37A6"/>
    <w:rsid w:val="67932C9A"/>
    <w:rsid w:val="67A51EFC"/>
    <w:rsid w:val="68095961"/>
    <w:rsid w:val="68323E80"/>
    <w:rsid w:val="68862B99"/>
    <w:rsid w:val="688B1588"/>
    <w:rsid w:val="68931D4F"/>
    <w:rsid w:val="68C6406F"/>
    <w:rsid w:val="690525DD"/>
    <w:rsid w:val="690C2807"/>
    <w:rsid w:val="69147F17"/>
    <w:rsid w:val="694831A6"/>
    <w:rsid w:val="69703747"/>
    <w:rsid w:val="698F62F8"/>
    <w:rsid w:val="69B75BF7"/>
    <w:rsid w:val="69BC5298"/>
    <w:rsid w:val="69BC70E7"/>
    <w:rsid w:val="69BC7B8F"/>
    <w:rsid w:val="69F15750"/>
    <w:rsid w:val="6A0147EC"/>
    <w:rsid w:val="6A1638AD"/>
    <w:rsid w:val="6A204527"/>
    <w:rsid w:val="6A4908EB"/>
    <w:rsid w:val="6A817AB0"/>
    <w:rsid w:val="6A8F1570"/>
    <w:rsid w:val="6AEE1CD3"/>
    <w:rsid w:val="6AF55279"/>
    <w:rsid w:val="6B0B4FF1"/>
    <w:rsid w:val="6B0D208C"/>
    <w:rsid w:val="6B123A43"/>
    <w:rsid w:val="6B450DDB"/>
    <w:rsid w:val="6B4551DF"/>
    <w:rsid w:val="6B8E7F66"/>
    <w:rsid w:val="6B9E2823"/>
    <w:rsid w:val="6BA732E1"/>
    <w:rsid w:val="6BB20ACC"/>
    <w:rsid w:val="6BD40160"/>
    <w:rsid w:val="6BD6157E"/>
    <w:rsid w:val="6BE63587"/>
    <w:rsid w:val="6C360B10"/>
    <w:rsid w:val="6C7B77BD"/>
    <w:rsid w:val="6C992C34"/>
    <w:rsid w:val="6C995580"/>
    <w:rsid w:val="6CA95923"/>
    <w:rsid w:val="6D3A125A"/>
    <w:rsid w:val="6D555826"/>
    <w:rsid w:val="6D747CDF"/>
    <w:rsid w:val="6D756958"/>
    <w:rsid w:val="6D80685C"/>
    <w:rsid w:val="6D8B0D3A"/>
    <w:rsid w:val="6D8D0DA1"/>
    <w:rsid w:val="6DBE79F5"/>
    <w:rsid w:val="6DDB3659"/>
    <w:rsid w:val="6E035ABF"/>
    <w:rsid w:val="6E2C53DA"/>
    <w:rsid w:val="6E3F5D56"/>
    <w:rsid w:val="6E4801E1"/>
    <w:rsid w:val="6E530C31"/>
    <w:rsid w:val="6E9D1BE9"/>
    <w:rsid w:val="6EA614ED"/>
    <w:rsid w:val="6F255606"/>
    <w:rsid w:val="6F7C39A1"/>
    <w:rsid w:val="6F9C0301"/>
    <w:rsid w:val="6FFC10B3"/>
    <w:rsid w:val="70094E9F"/>
    <w:rsid w:val="707C40E4"/>
    <w:rsid w:val="708A2ED8"/>
    <w:rsid w:val="7096334F"/>
    <w:rsid w:val="70E80AD8"/>
    <w:rsid w:val="713E3F52"/>
    <w:rsid w:val="718B3849"/>
    <w:rsid w:val="719963F6"/>
    <w:rsid w:val="71D16DB4"/>
    <w:rsid w:val="71EC2BF4"/>
    <w:rsid w:val="721107CF"/>
    <w:rsid w:val="723757C9"/>
    <w:rsid w:val="7270603A"/>
    <w:rsid w:val="727C4040"/>
    <w:rsid w:val="72952BD1"/>
    <w:rsid w:val="72C6511B"/>
    <w:rsid w:val="72D10939"/>
    <w:rsid w:val="731C6E4F"/>
    <w:rsid w:val="73656E86"/>
    <w:rsid w:val="7377015A"/>
    <w:rsid w:val="738C0D8C"/>
    <w:rsid w:val="738F783C"/>
    <w:rsid w:val="73975F1D"/>
    <w:rsid w:val="739D2BFF"/>
    <w:rsid w:val="73B13A3B"/>
    <w:rsid w:val="73CA3E5D"/>
    <w:rsid w:val="73D6653E"/>
    <w:rsid w:val="742C1037"/>
    <w:rsid w:val="743F7038"/>
    <w:rsid w:val="746D25E2"/>
    <w:rsid w:val="74983959"/>
    <w:rsid w:val="74A83598"/>
    <w:rsid w:val="75053C9A"/>
    <w:rsid w:val="75354617"/>
    <w:rsid w:val="755768A7"/>
    <w:rsid w:val="75870BDF"/>
    <w:rsid w:val="75A01A91"/>
    <w:rsid w:val="75A62E64"/>
    <w:rsid w:val="75BB53FD"/>
    <w:rsid w:val="75E96582"/>
    <w:rsid w:val="75F40EF3"/>
    <w:rsid w:val="75FA42D3"/>
    <w:rsid w:val="761146D7"/>
    <w:rsid w:val="7621477C"/>
    <w:rsid w:val="762377EA"/>
    <w:rsid w:val="7626260E"/>
    <w:rsid w:val="76470CAA"/>
    <w:rsid w:val="764B30E2"/>
    <w:rsid w:val="764D1082"/>
    <w:rsid w:val="766F2799"/>
    <w:rsid w:val="76805946"/>
    <w:rsid w:val="768E4099"/>
    <w:rsid w:val="76BC5340"/>
    <w:rsid w:val="76C339A7"/>
    <w:rsid w:val="77024A80"/>
    <w:rsid w:val="770578D6"/>
    <w:rsid w:val="77340EFF"/>
    <w:rsid w:val="773B6256"/>
    <w:rsid w:val="77434540"/>
    <w:rsid w:val="77656DA6"/>
    <w:rsid w:val="77825E7B"/>
    <w:rsid w:val="78285D5A"/>
    <w:rsid w:val="78340E12"/>
    <w:rsid w:val="786E643F"/>
    <w:rsid w:val="787B25E4"/>
    <w:rsid w:val="789D337F"/>
    <w:rsid w:val="78A52A5C"/>
    <w:rsid w:val="78A6249D"/>
    <w:rsid w:val="78C14DC6"/>
    <w:rsid w:val="78D4712A"/>
    <w:rsid w:val="78DB7806"/>
    <w:rsid w:val="78E01E5A"/>
    <w:rsid w:val="79163940"/>
    <w:rsid w:val="7971371D"/>
    <w:rsid w:val="79A0564A"/>
    <w:rsid w:val="79C76BDE"/>
    <w:rsid w:val="7A171250"/>
    <w:rsid w:val="7A72683C"/>
    <w:rsid w:val="7A77290E"/>
    <w:rsid w:val="7A800A89"/>
    <w:rsid w:val="7A832583"/>
    <w:rsid w:val="7AAC029B"/>
    <w:rsid w:val="7AC20306"/>
    <w:rsid w:val="7AEB1EBD"/>
    <w:rsid w:val="7B1C40BB"/>
    <w:rsid w:val="7B681FBF"/>
    <w:rsid w:val="7B7D7D11"/>
    <w:rsid w:val="7BAF292D"/>
    <w:rsid w:val="7BE6726E"/>
    <w:rsid w:val="7BF3685D"/>
    <w:rsid w:val="7C105306"/>
    <w:rsid w:val="7C3A752B"/>
    <w:rsid w:val="7C593A42"/>
    <w:rsid w:val="7CD83A4F"/>
    <w:rsid w:val="7D07233B"/>
    <w:rsid w:val="7D40391F"/>
    <w:rsid w:val="7D415D2F"/>
    <w:rsid w:val="7D4F2AEF"/>
    <w:rsid w:val="7D762483"/>
    <w:rsid w:val="7D97189B"/>
    <w:rsid w:val="7D9A42C9"/>
    <w:rsid w:val="7DF96BCA"/>
    <w:rsid w:val="7E0642E0"/>
    <w:rsid w:val="7E1251F4"/>
    <w:rsid w:val="7E4E42F7"/>
    <w:rsid w:val="7E6217BA"/>
    <w:rsid w:val="7E6416AA"/>
    <w:rsid w:val="7EB439AA"/>
    <w:rsid w:val="7EE66F59"/>
    <w:rsid w:val="7F1A6E76"/>
    <w:rsid w:val="7F1C3A35"/>
    <w:rsid w:val="7F1F783D"/>
    <w:rsid w:val="7F386039"/>
    <w:rsid w:val="7F5120A9"/>
    <w:rsid w:val="7FA75CF2"/>
    <w:rsid w:val="7FAF396D"/>
    <w:rsid w:val="7FB9622C"/>
    <w:rsid w:val="7FFD3FB4"/>
    <w:rsid w:val="E46DF715"/>
    <w:rsid w:val="EBBBE663"/>
    <w:rsid w:val="F5D5012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1" w:semiHidden="0" w:name="heading 1"/>
    <w:lsdException w:qFormat="1" w:unhideWhenUsed="0" w:uiPriority="1" w:semiHidden="0" w:name="heading 2"/>
    <w:lsdException w:qFormat="1" w:uiPriority="1" w:semiHidden="0" w:name="heading 3"/>
    <w:lsdException w:qFormat="1" w:uiPriority="1" w:semiHidden="0" w:name="heading 4"/>
    <w:lsdException w:qFormat="1" w:uiPriority="1" w:semiHidden="0"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semiHidden="0" w:name="caption"/>
    <w:lsdException w:uiPriority="99" w:name="table of figures"/>
    <w:lsdException w:uiPriority="99" w:name="envelope address"/>
    <w:lsdException w:uiPriority="99" w:name="envelope return"/>
    <w:lsdException w:uiPriority="99" w:name="footnote reference"/>
    <w:lsdException w:qFormat="1" w:uiPriority="99"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1"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line="600" w:lineRule="exact"/>
      <w:jc w:val="both"/>
    </w:pPr>
    <w:rPr>
      <w:rFonts w:ascii="Times New Roman" w:hAnsi="Times New Roman" w:eastAsia="仿宋_GB2312" w:cs="Times New Roman"/>
      <w:kern w:val="2"/>
      <w:sz w:val="32"/>
      <w:szCs w:val="21"/>
      <w:lang w:val="en-US" w:eastAsia="zh-CN" w:bidi="ar-SA"/>
    </w:rPr>
  </w:style>
  <w:style w:type="paragraph" w:styleId="4">
    <w:name w:val="heading 1"/>
    <w:basedOn w:val="1"/>
    <w:next w:val="1"/>
    <w:qFormat/>
    <w:uiPriority w:val="1"/>
    <w:pPr>
      <w:keepNext/>
      <w:keepLines/>
      <w:spacing w:before="340" w:after="330" w:line="576" w:lineRule="auto"/>
      <w:outlineLvl w:val="0"/>
    </w:pPr>
    <w:rPr>
      <w:b/>
      <w:kern w:val="44"/>
      <w:sz w:val="44"/>
    </w:rPr>
  </w:style>
  <w:style w:type="paragraph" w:styleId="5">
    <w:name w:val="heading 2"/>
    <w:basedOn w:val="1"/>
    <w:next w:val="1"/>
    <w:link w:val="31"/>
    <w:qFormat/>
    <w:uiPriority w:val="1"/>
    <w:pPr>
      <w:keepNext/>
      <w:keepLines/>
      <w:adjustRightInd w:val="0"/>
      <w:snapToGrid w:val="0"/>
      <w:spacing w:before="260" w:after="260" w:line="416" w:lineRule="auto"/>
      <w:ind w:firstLine="600" w:firstLineChars="200"/>
      <w:outlineLvl w:val="1"/>
    </w:pPr>
    <w:rPr>
      <w:rFonts w:ascii="Arial" w:hAnsi="Arial" w:eastAsia="Symbol"/>
      <w:b/>
      <w:bCs/>
      <w:szCs w:val="32"/>
    </w:rPr>
  </w:style>
  <w:style w:type="paragraph" w:styleId="6">
    <w:name w:val="heading 3"/>
    <w:basedOn w:val="1"/>
    <w:next w:val="1"/>
    <w:unhideWhenUsed/>
    <w:qFormat/>
    <w:uiPriority w:val="1"/>
    <w:pPr>
      <w:keepNext/>
      <w:keepLines/>
      <w:spacing w:before="260" w:after="260" w:line="413" w:lineRule="auto"/>
      <w:outlineLvl w:val="2"/>
    </w:pPr>
    <w:rPr>
      <w:b/>
    </w:rPr>
  </w:style>
  <w:style w:type="paragraph" w:styleId="7">
    <w:name w:val="heading 4"/>
    <w:basedOn w:val="1"/>
    <w:next w:val="1"/>
    <w:link w:val="36"/>
    <w:unhideWhenUsed/>
    <w:qFormat/>
    <w:uiPriority w:val="1"/>
    <w:pPr>
      <w:keepNext/>
      <w:keepLines/>
      <w:spacing w:before="280" w:after="290" w:line="376" w:lineRule="auto"/>
      <w:outlineLvl w:val="3"/>
    </w:pPr>
    <w:rPr>
      <w:rFonts w:asciiTheme="majorHAnsi" w:hAnsiTheme="majorHAnsi" w:eastAsiaTheme="majorEastAsia" w:cstheme="majorBidi"/>
      <w:b/>
      <w:bCs/>
      <w:sz w:val="28"/>
      <w:szCs w:val="28"/>
    </w:rPr>
  </w:style>
  <w:style w:type="paragraph" w:styleId="8">
    <w:name w:val="heading 5"/>
    <w:basedOn w:val="1"/>
    <w:next w:val="1"/>
    <w:link w:val="34"/>
    <w:unhideWhenUsed/>
    <w:qFormat/>
    <w:uiPriority w:val="1"/>
    <w:pPr>
      <w:keepNext/>
      <w:keepLines/>
      <w:spacing w:before="280" w:after="290" w:line="376" w:lineRule="auto"/>
      <w:outlineLvl w:val="4"/>
    </w:pPr>
    <w:rPr>
      <w:b/>
      <w:bCs/>
      <w:sz w:val="28"/>
      <w:szCs w:val="28"/>
    </w:rPr>
  </w:style>
  <w:style w:type="character" w:default="1" w:styleId="22">
    <w:name w:val="Default Paragraph Font"/>
    <w:semiHidden/>
    <w:unhideWhenUsed/>
    <w:qFormat/>
    <w:uiPriority w:val="1"/>
  </w:style>
  <w:style w:type="table" w:default="1" w:styleId="20">
    <w:name w:val="Normal Table"/>
    <w:semiHidden/>
    <w:unhideWhenUsed/>
    <w:qFormat/>
    <w:uiPriority w:val="99"/>
    <w:tblPr>
      <w:tblCellMar>
        <w:top w:w="0" w:type="dxa"/>
        <w:left w:w="108" w:type="dxa"/>
        <w:bottom w:w="0" w:type="dxa"/>
        <w:right w:w="108" w:type="dxa"/>
      </w:tblCellMar>
    </w:tblPr>
  </w:style>
  <w:style w:type="paragraph" w:styleId="2">
    <w:name w:val="Body Text First Indent 2"/>
    <w:basedOn w:val="3"/>
    <w:qFormat/>
    <w:uiPriority w:val="0"/>
    <w:pPr>
      <w:ind w:firstLine="420"/>
    </w:pPr>
  </w:style>
  <w:style w:type="paragraph" w:styleId="3">
    <w:name w:val="Body Text Indent"/>
    <w:basedOn w:val="1"/>
    <w:qFormat/>
    <w:uiPriority w:val="0"/>
    <w:pPr>
      <w:spacing w:after="120"/>
      <w:ind w:left="420" w:leftChars="200"/>
      <w:jc w:val="left"/>
    </w:pPr>
    <w:rPr>
      <w:rFonts w:hint="eastAsia" w:ascii="宋体" w:hAnsi="宋体" w:eastAsia="宋体"/>
      <w:kern w:val="0"/>
      <w:sz w:val="24"/>
      <w:szCs w:val="24"/>
    </w:rPr>
  </w:style>
  <w:style w:type="paragraph" w:styleId="9">
    <w:name w:val="Normal Indent"/>
    <w:basedOn w:val="1"/>
    <w:next w:val="10"/>
    <w:qFormat/>
    <w:uiPriority w:val="0"/>
    <w:pPr>
      <w:spacing w:line="360" w:lineRule="auto"/>
      <w:ind w:firstLine="420" w:firstLineChars="200"/>
      <w:jc w:val="left"/>
    </w:pPr>
    <w:rPr>
      <w:rFonts w:ascii="仿宋_GB2312" w:hAnsi="Arial"/>
      <w:kern w:val="0"/>
      <w:sz w:val="30"/>
      <w:szCs w:val="30"/>
    </w:rPr>
  </w:style>
  <w:style w:type="paragraph" w:styleId="10">
    <w:name w:val="Body Text"/>
    <w:basedOn w:val="1"/>
    <w:link w:val="35"/>
    <w:unhideWhenUsed/>
    <w:qFormat/>
    <w:uiPriority w:val="1"/>
    <w:pPr>
      <w:spacing w:after="120"/>
    </w:pPr>
  </w:style>
  <w:style w:type="paragraph" w:styleId="11">
    <w:name w:val="caption"/>
    <w:basedOn w:val="1"/>
    <w:next w:val="1"/>
    <w:unhideWhenUsed/>
    <w:qFormat/>
    <w:uiPriority w:val="35"/>
    <w:rPr>
      <w:rFonts w:eastAsia="黑体" w:asciiTheme="majorHAnsi" w:hAnsiTheme="majorHAnsi" w:cstheme="majorBidi"/>
      <w:sz w:val="20"/>
      <w:szCs w:val="20"/>
    </w:rPr>
  </w:style>
  <w:style w:type="paragraph" w:styleId="12">
    <w:name w:val="annotation text"/>
    <w:basedOn w:val="1"/>
    <w:link w:val="27"/>
    <w:unhideWhenUsed/>
    <w:qFormat/>
    <w:uiPriority w:val="99"/>
    <w:pPr>
      <w:jc w:val="left"/>
    </w:pPr>
  </w:style>
  <w:style w:type="paragraph" w:styleId="13">
    <w:name w:val="Balloon Text"/>
    <w:basedOn w:val="1"/>
    <w:link w:val="37"/>
    <w:unhideWhenUsed/>
    <w:qFormat/>
    <w:uiPriority w:val="99"/>
    <w:rPr>
      <w:sz w:val="18"/>
      <w:szCs w:val="18"/>
    </w:rPr>
  </w:style>
  <w:style w:type="paragraph" w:styleId="14">
    <w:name w:val="footer"/>
    <w:basedOn w:val="1"/>
    <w:link w:val="26"/>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15">
    <w:name w:val="header"/>
    <w:basedOn w:val="1"/>
    <w:link w:val="25"/>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paragraph" w:styleId="16">
    <w:name w:val="toc 1"/>
    <w:basedOn w:val="1"/>
    <w:next w:val="1"/>
    <w:unhideWhenUsed/>
    <w:qFormat/>
    <w:uiPriority w:val="39"/>
    <w:pPr>
      <w:tabs>
        <w:tab w:val="right" w:leader="dot" w:pos="8714"/>
      </w:tabs>
      <w:spacing w:before="60" w:line="360" w:lineRule="auto"/>
      <w:ind w:left="200" w:leftChars="200"/>
      <w:jc w:val="left"/>
    </w:pPr>
    <w:rPr>
      <w:rFonts w:eastAsia="Helvetica" w:cs="Courier"/>
      <w:bCs/>
      <w:caps/>
      <w:sz w:val="30"/>
      <w:szCs w:val="20"/>
    </w:rPr>
  </w:style>
  <w:style w:type="paragraph" w:styleId="17">
    <w:name w:val="Subtitle"/>
    <w:basedOn w:val="1"/>
    <w:next w:val="1"/>
    <w:link w:val="30"/>
    <w:qFormat/>
    <w:uiPriority w:val="11"/>
    <w:pPr>
      <w:spacing w:before="240" w:after="60" w:line="312" w:lineRule="auto"/>
      <w:jc w:val="center"/>
      <w:outlineLvl w:val="1"/>
    </w:pPr>
    <w:rPr>
      <w:rFonts w:asciiTheme="minorHAnsi" w:hAnsiTheme="minorHAnsi" w:eastAsiaTheme="minorEastAsia" w:cstheme="minorBidi"/>
      <w:b/>
      <w:bCs/>
      <w:kern w:val="28"/>
      <w:szCs w:val="32"/>
    </w:rPr>
  </w:style>
  <w:style w:type="paragraph" w:styleId="18">
    <w:name w:val="toc 2"/>
    <w:basedOn w:val="1"/>
    <w:next w:val="1"/>
    <w:unhideWhenUsed/>
    <w:qFormat/>
    <w:uiPriority w:val="39"/>
    <w:pPr>
      <w:tabs>
        <w:tab w:val="right" w:leader="dot" w:pos="8714"/>
      </w:tabs>
      <w:spacing w:line="360" w:lineRule="auto"/>
      <w:ind w:left="350" w:leftChars="350"/>
      <w:jc w:val="left"/>
    </w:pPr>
    <w:rPr>
      <w:rFonts w:eastAsia="Tms Rmn" w:cs="Courier"/>
      <w:smallCaps/>
      <w:sz w:val="30"/>
      <w:szCs w:val="20"/>
    </w:rPr>
  </w:style>
  <w:style w:type="paragraph" w:styleId="19">
    <w:name w:val="annotation subject"/>
    <w:basedOn w:val="12"/>
    <w:next w:val="12"/>
    <w:link w:val="28"/>
    <w:unhideWhenUsed/>
    <w:qFormat/>
    <w:uiPriority w:val="99"/>
    <w:rPr>
      <w:b/>
      <w:bCs/>
    </w:rPr>
  </w:style>
  <w:style w:type="table" w:styleId="21">
    <w:name w:val="Table Grid"/>
    <w:basedOn w:val="20"/>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3">
    <w:name w:val="Hyperlink"/>
    <w:basedOn w:val="22"/>
    <w:unhideWhenUsed/>
    <w:qFormat/>
    <w:uiPriority w:val="99"/>
    <w:rPr>
      <w:color w:val="0563C1" w:themeColor="hyperlink"/>
      <w:u w:val="single"/>
      <w14:textFill>
        <w14:solidFill>
          <w14:schemeClr w14:val="hlink"/>
        </w14:solidFill>
      </w14:textFill>
    </w:rPr>
  </w:style>
  <w:style w:type="character" w:styleId="24">
    <w:name w:val="annotation reference"/>
    <w:basedOn w:val="22"/>
    <w:unhideWhenUsed/>
    <w:qFormat/>
    <w:uiPriority w:val="99"/>
    <w:rPr>
      <w:sz w:val="21"/>
      <w:szCs w:val="21"/>
    </w:rPr>
  </w:style>
  <w:style w:type="character" w:customStyle="1" w:styleId="25">
    <w:name w:val="页眉 字符"/>
    <w:basedOn w:val="22"/>
    <w:link w:val="15"/>
    <w:qFormat/>
    <w:uiPriority w:val="99"/>
    <w:rPr>
      <w:sz w:val="18"/>
      <w:szCs w:val="18"/>
    </w:rPr>
  </w:style>
  <w:style w:type="character" w:customStyle="1" w:styleId="26">
    <w:name w:val="页脚 字符"/>
    <w:basedOn w:val="22"/>
    <w:link w:val="14"/>
    <w:qFormat/>
    <w:uiPriority w:val="99"/>
    <w:rPr>
      <w:sz w:val="18"/>
      <w:szCs w:val="18"/>
    </w:rPr>
  </w:style>
  <w:style w:type="character" w:customStyle="1" w:styleId="27">
    <w:name w:val="批注文字 字符"/>
    <w:basedOn w:val="22"/>
    <w:link w:val="12"/>
    <w:qFormat/>
    <w:uiPriority w:val="99"/>
    <w:rPr>
      <w:rFonts w:ascii="Times New Roman" w:hAnsi="Times New Roman" w:eastAsia="Courier New" w:cs="Times New Roman"/>
      <w:szCs w:val="21"/>
    </w:rPr>
  </w:style>
  <w:style w:type="character" w:customStyle="1" w:styleId="28">
    <w:name w:val="批注主题 字符"/>
    <w:basedOn w:val="27"/>
    <w:link w:val="19"/>
    <w:semiHidden/>
    <w:qFormat/>
    <w:uiPriority w:val="99"/>
    <w:rPr>
      <w:rFonts w:ascii="Times New Roman" w:hAnsi="Times New Roman" w:eastAsia="Courier New" w:cs="Times New Roman"/>
      <w:b/>
      <w:bCs/>
      <w:szCs w:val="21"/>
    </w:rPr>
  </w:style>
  <w:style w:type="paragraph" w:customStyle="1" w:styleId="29">
    <w:name w:val="独立格式"/>
    <w:basedOn w:val="17"/>
    <w:qFormat/>
    <w:uiPriority w:val="1"/>
    <w:pPr>
      <w:spacing w:before="0" w:after="0" w:line="360" w:lineRule="auto"/>
      <w:outlineLvl w:val="9"/>
    </w:pPr>
    <w:rPr>
      <w:rFonts w:ascii="Times New Roman" w:hAnsi="Times New Roman" w:eastAsia="Tms Rmn" w:cs="Times New Roman"/>
      <w:b w:val="0"/>
      <w:bCs w:val="0"/>
      <w:kern w:val="2"/>
      <w:szCs w:val="52"/>
    </w:rPr>
  </w:style>
  <w:style w:type="character" w:customStyle="1" w:styleId="30">
    <w:name w:val="副标题 字符"/>
    <w:basedOn w:val="22"/>
    <w:link w:val="17"/>
    <w:qFormat/>
    <w:uiPriority w:val="11"/>
    <w:rPr>
      <w:b/>
      <w:bCs/>
      <w:kern w:val="28"/>
      <w:sz w:val="32"/>
      <w:szCs w:val="32"/>
    </w:rPr>
  </w:style>
  <w:style w:type="character" w:customStyle="1" w:styleId="31">
    <w:name w:val="标题 2 字符"/>
    <w:basedOn w:val="22"/>
    <w:link w:val="5"/>
    <w:qFormat/>
    <w:uiPriority w:val="9"/>
    <w:rPr>
      <w:rFonts w:ascii="Arial" w:hAnsi="Arial" w:eastAsia="Symbol" w:cs="Times New Roman"/>
      <w:b/>
      <w:bCs/>
      <w:sz w:val="32"/>
      <w:szCs w:val="32"/>
    </w:rPr>
  </w:style>
  <w:style w:type="paragraph" w:customStyle="1" w:styleId="32">
    <w:name w:val="表格名称"/>
    <w:basedOn w:val="1"/>
    <w:qFormat/>
    <w:uiPriority w:val="0"/>
    <w:pPr>
      <w:spacing w:line="360" w:lineRule="auto"/>
      <w:jc w:val="center"/>
    </w:pPr>
    <w:rPr>
      <w:rFonts w:eastAsia="Helv" w:cs="New York"/>
      <w:b/>
      <w:sz w:val="24"/>
      <w:szCs w:val="24"/>
    </w:rPr>
  </w:style>
  <w:style w:type="paragraph" w:customStyle="1" w:styleId="33">
    <w:name w:val="表格文字"/>
    <w:basedOn w:val="29"/>
    <w:next w:val="1"/>
    <w:qFormat/>
    <w:uiPriority w:val="0"/>
    <w:pPr>
      <w:spacing w:line="360" w:lineRule="exact"/>
    </w:pPr>
    <w:rPr>
      <w:rFonts w:eastAsia="Helv" w:cs="New York"/>
      <w:sz w:val="24"/>
    </w:rPr>
  </w:style>
  <w:style w:type="character" w:customStyle="1" w:styleId="34">
    <w:name w:val="标题 5 字符"/>
    <w:basedOn w:val="22"/>
    <w:link w:val="8"/>
    <w:semiHidden/>
    <w:qFormat/>
    <w:uiPriority w:val="9"/>
    <w:rPr>
      <w:rFonts w:ascii="Times New Roman" w:hAnsi="Times New Roman" w:eastAsia="Courier New" w:cs="Times New Roman"/>
      <w:b/>
      <w:bCs/>
      <w:sz w:val="28"/>
      <w:szCs w:val="28"/>
    </w:rPr>
  </w:style>
  <w:style w:type="character" w:customStyle="1" w:styleId="35">
    <w:name w:val="正文文本 字符"/>
    <w:basedOn w:val="22"/>
    <w:link w:val="10"/>
    <w:semiHidden/>
    <w:qFormat/>
    <w:uiPriority w:val="99"/>
    <w:rPr>
      <w:rFonts w:ascii="Times New Roman" w:hAnsi="Times New Roman" w:eastAsia="Courier New" w:cs="Times New Roman"/>
      <w:szCs w:val="21"/>
    </w:rPr>
  </w:style>
  <w:style w:type="character" w:customStyle="1" w:styleId="36">
    <w:name w:val="标题 4 字符"/>
    <w:basedOn w:val="22"/>
    <w:link w:val="7"/>
    <w:semiHidden/>
    <w:qFormat/>
    <w:uiPriority w:val="9"/>
    <w:rPr>
      <w:rFonts w:asciiTheme="majorHAnsi" w:hAnsiTheme="majorHAnsi" w:eastAsiaTheme="majorEastAsia" w:cstheme="majorBidi"/>
      <w:b/>
      <w:bCs/>
      <w:sz w:val="28"/>
      <w:szCs w:val="28"/>
    </w:rPr>
  </w:style>
  <w:style w:type="character" w:customStyle="1" w:styleId="37">
    <w:name w:val="批注框文本 字符"/>
    <w:basedOn w:val="22"/>
    <w:link w:val="13"/>
    <w:semiHidden/>
    <w:qFormat/>
    <w:uiPriority w:val="99"/>
    <w:rPr>
      <w:rFonts w:ascii="Times New Roman" w:hAnsi="Times New Roman" w:eastAsia="Courier New" w:cs="Times New Roman"/>
      <w:kern w:val="2"/>
      <w:sz w:val="18"/>
      <w:szCs w:val="18"/>
    </w:rPr>
  </w:style>
  <w:style w:type="table" w:customStyle="1" w:styleId="38">
    <w:name w:val="Table Normal"/>
    <w:unhideWhenUsed/>
    <w:qFormat/>
    <w:uiPriority w:val="2"/>
    <w:tblPr>
      <w:tblCellMar>
        <w:top w:w="0" w:type="dxa"/>
        <w:left w:w="0" w:type="dxa"/>
        <w:bottom w:w="0" w:type="dxa"/>
        <w:right w:w="0" w:type="dxa"/>
      </w:tblCellMar>
    </w:tblPr>
  </w:style>
  <w:style w:type="paragraph" w:customStyle="1" w:styleId="39">
    <w:name w:val="列出段落1"/>
    <w:basedOn w:val="1"/>
    <w:qFormat/>
    <w:uiPriority w:val="1"/>
    <w:pPr>
      <w:autoSpaceDE w:val="0"/>
      <w:autoSpaceDN w:val="0"/>
      <w:ind w:left="109" w:right="99" w:firstLine="641"/>
      <w:jc w:val="left"/>
    </w:pPr>
    <w:rPr>
      <w:rFonts w:ascii="Arial Unicode MS" w:hAnsi="Arial Unicode MS" w:eastAsia="Arial Unicode MS" w:cs="Arial Unicode MS"/>
      <w:kern w:val="0"/>
      <w:sz w:val="22"/>
      <w:szCs w:val="22"/>
      <w:lang w:eastAsia="en-US"/>
    </w:rPr>
  </w:style>
  <w:style w:type="paragraph" w:customStyle="1" w:styleId="40">
    <w:name w:val="Table Paragraph"/>
    <w:basedOn w:val="1"/>
    <w:qFormat/>
    <w:uiPriority w:val="1"/>
    <w:pPr>
      <w:autoSpaceDE w:val="0"/>
      <w:autoSpaceDN w:val="0"/>
      <w:jc w:val="left"/>
    </w:pPr>
    <w:rPr>
      <w:rFonts w:ascii="宋体" w:hAnsi="宋体" w:eastAsia="宋体" w:cs="宋体"/>
      <w:kern w:val="0"/>
      <w:sz w:val="22"/>
      <w:szCs w:val="22"/>
      <w:lang w:eastAsia="en-US"/>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3.xml"/><Relationship Id="rId10" Type="http://schemas.openxmlformats.org/officeDocument/2006/relationships/customXml" Target="../customXml/item2.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9" Type="http://schemas.openxmlformats.org/officeDocument/2006/relationships/font" Target="fonts/font9.odttf"/><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0" Type="http://schemas.openxmlformats.org/officeDocument/2006/relationships/font" Target="fonts/font10.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contractReview xmlns="http://schemas.wps.cn/vas-ai-hub/contract-review">
  <reviewItems>
    <reviewItem>
      <errorID>5d586758-5dcd-4416-9281-a72ee292dbbd</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7BD85B6B</paraID>
      <start>0</start>
      <end>2</end>
      <status>unmodified</status>
      <modifiedWord/>
      <trackRevisions>false</trackRevisions>
    </reviewItem>
    <reviewItem>
      <errorID>161978c0-78fe-4333-a548-28d9b54c33f2</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213F86F1</paraID>
      <start>0</start>
      <end>2</end>
      <status>unmodified</status>
      <modifiedWord/>
      <trackRevisions>false</trackRevisions>
    </reviewItem>
    <reviewItem>
      <errorID>73dc0ae5-f607-4646-a211-91baa925ce2b</errorID>
      <errorWord>专人对</errorWord>
      <group>L1_Word</group>
      <groupName>字词问题</groupName>
      <ability>L2_Typo</ability>
      <abilityName>字词错误</abilityName>
      <candidateList>
        <item>专人</item>
      </candidateList>
      <explain/>
      <paraID>15B999E8</paraID>
      <start>85</start>
      <end>88</end>
      <status>unmodified</status>
      <modifiedWord/>
      <trackRevisions>false</trackRevisions>
    </reviewItem>
    <reviewItem>
      <errorID>99e515a2-7ce7-4206-addd-5994f29de0ae</errorID>
      <errorWord>按着</errorWord>
      <group>L1_Word</group>
      <groupName>字词问题</groupName>
      <ability>L2_Typo</ability>
      <abilityName>字词错误</abilityName>
      <candidateList>
        <item>按照</item>
      </candidateList>
      <explain>〈介〉根据；依照：～法规办理｜～预定的计划执行。</explain>
      <paraID>15B999E8</paraID>
      <start>764</start>
      <end>766</end>
      <status>unmodified</status>
      <modifiedWord/>
      <trackRevisions>false</trackRevisions>
    </reviewItem>
    <reviewItem>
      <errorID>aaf93840-7d0d-4091-b55f-612e8f202c62</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15B999E8</paraID>
      <start>872</start>
      <end>875</end>
      <status>unmodified</status>
      <modifiedWord/>
      <trackRevisions>false</trackRevisions>
    </reviewItem>
    <reviewItem>
      <errorID>b4d7a3d7-2cc4-4568-91a6-4c53fd744942</errorID>
      <errorWord>新</errorWord>
      <group>L1_Word</group>
      <groupName>字词问题</groupName>
      <ability>L2_Typo</ability>
      <abilityName>字词错误</abilityName>
      <candidateList>
        <item>新能</item>
      </candidateList>
      <explain/>
      <paraID>15B999E8</paraID>
      <start>895</start>
      <end>896</end>
      <status>unmodified</status>
      <modifiedWord/>
      <trackRevisions>false</trackRevisions>
    </reviewItem>
    <reviewItem>
      <errorID>ead61fb1-fdf0-43a6-9fce-8eb8f14f48b5</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46063367</paraID>
      <start>0</start>
      <end>2</end>
      <status>unmodified</status>
      <modifiedWord/>
      <trackRevisions>false</trackRevisions>
    </reviewItem>
    <reviewItem>
      <errorID>2eb2e97b-73a5-4222-9485-5a358336e803</errorID>
      <errorWord>一般公共预算拨款</errorWord>
      <group>L1_Political</group>
      <groupName>政治性问题</groupName>
      <ability>L2_Keyword</ability>
      <abilityName>固定表述</abilityName>
      <candidateList>
        <item>一般公共预算财政拨款</item>
      </candidateList>
      <explain>词汇“一般公共预算财政拨款”在特定场景下为固定表述形式，请确认此处的“一般公共预算拨款”是否存在不当。</explain>
      <paraID>71070AF1</paraID>
      <start>3</start>
      <end>11</end>
      <status>unmodified</status>
      <modifiedWord/>
      <trackRevisions>false</trackRevisions>
    </reviewItem>
    <reviewItem>
      <errorID>fce3949c-2b34-4dc3-bd22-f559967c4e13</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4661E648</paraID>
      <start>0</start>
      <end>2</end>
      <status>unmodified</status>
      <modifiedWord/>
      <trackRevisions>false</trackRevisions>
    </reviewItem>
    <reviewItem>
      <errorID>92578f77-8614-4b4d-a923-e31381c151b8</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FC0A4C2</paraID>
      <start>0</start>
      <end>2</end>
      <status>unmodified</status>
      <modifiedWord/>
      <trackRevisions>false</trackRevisions>
    </reviewItem>
    <reviewItem>
      <errorID>543d02f6-fcac-4d63-a8ae-1a5450432afd</errorID>
      <errorWord>缴</errorWord>
      <group>L1_Word</group>
      <groupName>字词问题</groupName>
      <ability>L2_Typo</ability>
      <abilityName>字词错误</abilityName>
      <candidateList>
        <item>缴纳</item>
      </candidateList>
      <explain>〈动〉交纳：～税款。</explain>
      <paraID>35A42E76</paraID>
      <start>26</start>
      <end>27</end>
      <status>unmodified</status>
      <modifiedWord/>
      <trackRevisions>false</trackRevisions>
    </reviewItem>
    <reviewItem>
      <errorID>d1eb8bb4-37b0-488f-b768-7c72651bc9a8</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5CB2570</paraID>
      <start>0</start>
      <end>2</end>
      <status>unmodified</status>
      <modifiedWord/>
      <trackRevisions>false</trackRevisions>
    </reviewItem>
    <reviewItem>
      <errorID>63788e67-7646-43ef-a609-5f82a4536094</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28271AF5</paraID>
      <start>0</start>
      <end>2</end>
      <status>unmodified</status>
      <modifiedWord/>
      <trackRevisions>false</trackRevisions>
    </reviewItem>
    <reviewItem>
      <errorID>bc90b3e8-28d9-42a5-a87d-9ca1b39ce9b3</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6D6E9B7F</paraID>
      <start>0</start>
      <end>2</end>
      <status>unmodified</status>
      <modifiedWord/>
      <trackRevisions>false</trackRevisions>
    </reviewItem>
    <reviewItem>
      <errorID>fbac0829-800c-42db-897c-3f187102abab</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3818503C</paraID>
      <start>0</start>
      <end>2</end>
      <status>unmodified</status>
      <modifiedWord/>
      <trackRevisions>false</trackRevisions>
    </reviewItem>
    <reviewItem>
      <errorID>e37ac89c-e3b8-4880-b10f-9d5bba4935ae</errorID>
      <errorWord>缴</errorWord>
      <group>L1_Word</group>
      <groupName>字词问题</groupName>
      <ability>L2_Typo</ability>
      <abilityName>字词错误</abilityName>
      <candidateList>
        <item>缴费</item>
      </candidateList>
      <explain/>
      <paraID>41312D92</paraID>
      <start>95</start>
      <end>96</end>
      <status>unmodified</status>
      <modifiedWord/>
      <trackRevisions>false</trackRevisions>
    </reviewItem>
    <reviewItem>
      <errorID>b0dd80a4-e117-42eb-8be2-ed082797561b</errorID>
      <errorWord>一般公共预算拨款</errorWord>
      <group>L1_Political</group>
      <groupName>政治性问题</groupName>
      <ability>L2_Keyword</ability>
      <abilityName>固定表述</abilityName>
      <candidateList>
        <item>一般公共预算财政拨款</item>
      </candidateList>
      <explain>词汇“一般公共预算财政拨款”在特定场景下为固定表述形式，请确认此处的“一般公共预算拨款”是否存在不当。</explain>
      <paraID>2CC11163</paraID>
      <start>12</start>
      <end>20</end>
      <status>unmodified</status>
      <modifiedWord/>
      <trackRevisions>false</trackRevisions>
    </reviewItem>
    <reviewItem>
      <errorID>d66f82da-7659-405c-a85b-3951e004c3f5</errorID>
      <errorWord>一般公共预算拨款</errorWord>
      <group>L1_Political</group>
      <groupName>政治性问题</groupName>
      <ability>L2_Keyword</ability>
      <abilityName>固定表述</abilityName>
      <candidateList>
        <item>一般公共预算财政拨款</item>
      </candidateList>
      <explain>词汇“一般公共预算财政拨款”在特定场景下为固定表述形式，请确认此处的“一般公共预算拨款”是否存在不当。</explain>
      <paraID>3F88C249</paraID>
      <start>0</start>
      <end>8</end>
      <status>unmodified</status>
      <modifiedWord/>
      <trackRevisions>false</trackRevisions>
    </reviewItem>
    <reviewItem>
      <errorID>1b578f9b-7e59-4bdc-8f2b-92d31aa2365c</errorID>
      <errorWord>增</errorWord>
      <group>L1_Word</group>
      <groupName>字词问题</groupName>
      <ability>L2_Typo</ability>
      <abilityName>字词错误</abilityName>
      <candidateList>
        <item>增加</item>
      </candidateList>
      <explain>〈动〉在原有的基础上加多：～品种｜～抵抗力｜在校学生已由八百～到一千。</explain>
      <paraID>3F88C249</paraID>
      <start>40</start>
      <end>42</end>
      <status>modified</status>
      <modifiedWord>增加</modifiedWord>
      <trackRevisions>false</trackRevisions>
    </reviewItem>
    <reviewItem>
      <errorID>81fe5234-77d3-41fd-a036-7cd9e6b35d3e</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4EB27E11</paraID>
      <start>0</start>
      <end>2</end>
      <status>unmodified</status>
      <modifiedWord/>
      <trackRevisions>false</trackRevisions>
    </reviewItem>
    <reviewItem>
      <errorID>6829fcd6-a679-409a-8a8a-20dd053790b5</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CAB0102</paraID>
      <start>0</start>
      <end>2</end>
      <status>unmodified</status>
      <modifiedWord/>
      <trackRevisions>false</trackRevisions>
    </reviewItem>
    <reviewItem>
      <errorID>fd2a26a6-a4f6-4c72-a58d-ba0cf61d9e16</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504F049D</paraID>
      <start>0</start>
      <end>2</end>
      <status>unmodified</status>
      <modifiedWord/>
      <trackRevisions>false</trackRevisions>
    </reviewItem>
    <reviewItem>
      <errorID>f1a4c496-0b34-4db5-9817-5453132c89ab</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6CE39AF2</paraID>
      <start>74</start>
      <end>77</end>
      <status>unmodified</status>
      <modifiedWord/>
      <trackRevisions>false</trackRevisions>
    </reviewItem>
    <reviewItem>
      <errorID>a5a4a298-b5fc-40fd-919a-1ed4b77bdaf2</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6CE39AF2</paraID>
      <start>83</start>
      <end>86</end>
      <status>unmodified</status>
      <modifiedWord/>
      <trackRevisions>false</trackRevisions>
    </reviewItem>
    <reviewItem>
      <errorID>f0ae58f6-fef7-4736-a860-bf53f6a546f6</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6CE39AF2</paraID>
      <start>89</start>
      <end>92</end>
      <status>unmodified</status>
      <modifiedWord/>
      <trackRevisions>false</trackRevisions>
    </reviewItem>
    <reviewItem>
      <errorID>d8794363-b5b0-468e-8d46-ab29261437a0</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6CE39AF2</paraID>
      <start>98</start>
      <end>101</end>
      <status>unmodified</status>
      <modifiedWord/>
      <trackRevisions>false</trackRevisions>
    </reviewItem>
    <reviewItem>
      <errorID>543e4255-b725-4cab-b1b3-c65217357900</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6CE39AF2</paraID>
      <start>112</start>
      <end>115</end>
      <status>unmodified</status>
      <modifiedWord/>
      <trackRevisions>false</trackRevisions>
    </reviewItem>
    <reviewItem>
      <errorID>6d3afc0f-dc46-4487-8f58-f1e1d12bcb4e</errorID>
      <errorWord>一般公共预算拨款</errorWord>
      <group>L1_Political</group>
      <groupName>政治性问题</groupName>
      <ability>L2_Keyword</ability>
      <abilityName>固定表述</abilityName>
      <candidateList>
        <item>一般公共预算财政拨款</item>
      </candidateList>
      <explain>词汇“一般公共预算财政拨款”在特定场景下为固定表述形式，请确认此处的“一般公共预算拨款”是否存在不当。</explain>
      <paraID>640B2F80</paraID>
      <start>31</start>
      <end>39</end>
      <status>unmodified</status>
      <modifiedWord/>
      <trackRevisions>false</trackRevisions>
    </reviewItem>
    <reviewItem>
      <errorID>445a388d-6548-4b78-b026-09570b37f7eb</errorID>
      <errorWord>一般公共预算拨款</errorWord>
      <group>L1_Political</group>
      <groupName>政治性问题</groupName>
      <ability>L2_Keyword</ability>
      <abilityName>固定表述</abilityName>
      <candidateList>
        <item>一般公共预算财政拨款</item>
      </candidateList>
      <explain>词汇“一般公共预算财政拨款”在特定场景下为固定表述形式，请确认此处的“一般公共预算拨款”是否存在不当。</explain>
      <paraID>7958AD00</paraID>
      <start>2</start>
      <end>10</end>
      <status>unmodified</status>
      <modifiedWord/>
      <trackRevisions>false</trackRevisions>
    </reviewItem>
  </reviewItems>
  <config/>
</contractReview>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d86c1f8-6c81-4426-ba0f-9c35b90be9bf}">
  <ds:schemaRefs/>
</ds:datastoreItem>
</file>

<file path=customXml/itemProps3.xml><?xml version="1.0" encoding="utf-8"?>
<ds:datastoreItem xmlns:ds="http://schemas.openxmlformats.org/officeDocument/2006/customXml" ds:itemID="{6AE87318-40E5-47D2-BEA4-D1098C140F74}">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16</Pages>
  <Words>3083</Words>
  <Characters>3240</Characters>
  <Lines>82</Lines>
  <Paragraphs>23</Paragraphs>
  <TotalTime>28</TotalTime>
  <ScaleCrop>false</ScaleCrop>
  <LinksUpToDate>false</LinksUpToDate>
  <CharactersWithSpaces>3258</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2022-09-07T01:41:00Z</dcterms:created>
  <dc:creator>Richard Meng</dc:creator>
  <cp:lastModifiedBy>柠檬不萌</cp:lastModifiedBy>
  <cp:lastPrinted>2022-09-03T08:20:00Z</cp:lastPrinted>
  <dcterms:modified xsi:type="dcterms:W3CDTF">2026-02-06T01:01:55Z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D01B5B60E3BA4123A53948E7047D96F9</vt:lpwstr>
  </property>
  <property fmtid="{D5CDD505-2E9C-101B-9397-08002B2CF9AE}" pid="4" name="commondata">
    <vt:lpwstr>eyJoZGlkIjoiMDUyZTZiOWNhNTRkM2JiNDQwZWRmZDZjZTIwNDhiY2IifQ==</vt:lpwstr>
  </property>
  <property fmtid="{D5CDD505-2E9C-101B-9397-08002B2CF9AE}" pid="5" name="KSOTemplateDocerSaveRecord">
    <vt:lpwstr>eyJoZGlkIjoiOGUyMmY0MjYwMGQ2ZjFlODIxZDUwNTJiMDdjMDMzMTciLCJ1c2VySWQiOiIyNTg4MjAwNDkifQ==</vt:lpwstr>
  </property>
</Properties>
</file>